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rPr>
        <w:t>关于《</w:t>
      </w:r>
      <w:r>
        <w:rPr>
          <w:rFonts w:hint="default" w:ascii="Times New Roman" w:hAnsi="Times New Roman" w:eastAsia="方正小标宋简体" w:cs="Times New Roman"/>
          <w:b w:val="0"/>
          <w:bCs w:val="0"/>
          <w:i w:val="0"/>
          <w:iCs w:val="0"/>
          <w:caps w:val="0"/>
          <w:color w:val="auto"/>
          <w:spacing w:val="0"/>
          <w:sz w:val="44"/>
          <w:szCs w:val="44"/>
          <w:lang w:val="en-US" w:eastAsia="zh-CN"/>
        </w:rPr>
        <w:t>三门峡市</w:t>
      </w:r>
      <w:r>
        <w:rPr>
          <w:rFonts w:hint="default" w:ascii="Times New Roman" w:hAnsi="Times New Roman" w:eastAsia="方正小标宋简体" w:cs="Times New Roman"/>
          <w:b w:val="0"/>
          <w:bCs w:val="0"/>
          <w:i w:val="0"/>
          <w:iCs w:val="0"/>
          <w:caps w:val="0"/>
          <w:color w:val="auto"/>
          <w:spacing w:val="0"/>
          <w:sz w:val="44"/>
          <w:szCs w:val="44"/>
        </w:rPr>
        <w:t>红色</w:t>
      </w:r>
      <w:r>
        <w:rPr>
          <w:rFonts w:hint="default" w:ascii="Times New Roman" w:hAnsi="Times New Roman" w:eastAsia="方正小标宋简体" w:cs="Times New Roman"/>
          <w:b w:val="0"/>
          <w:bCs w:val="0"/>
          <w:i w:val="0"/>
          <w:iCs w:val="0"/>
          <w:caps w:val="0"/>
          <w:color w:val="auto"/>
          <w:spacing w:val="0"/>
          <w:sz w:val="44"/>
          <w:szCs w:val="44"/>
          <w:lang w:val="en-US" w:eastAsia="zh-CN"/>
        </w:rPr>
        <w:t>文化</w:t>
      </w:r>
      <w:r>
        <w:rPr>
          <w:rFonts w:hint="default" w:ascii="Times New Roman" w:hAnsi="Times New Roman" w:eastAsia="方正小标宋简体" w:cs="Times New Roman"/>
          <w:b w:val="0"/>
          <w:bCs w:val="0"/>
          <w:i w:val="0"/>
          <w:iCs w:val="0"/>
          <w:caps w:val="0"/>
          <w:color w:val="auto"/>
          <w:spacing w:val="0"/>
          <w:sz w:val="44"/>
          <w:szCs w:val="44"/>
        </w:rPr>
        <w:t>资源保护利用条例（草案</w:t>
      </w:r>
      <w:r>
        <w:rPr>
          <w:rFonts w:hint="default" w:ascii="Times New Roman" w:hAnsi="Times New Roman" w:eastAsia="方正小标宋简体" w:cs="Times New Roman"/>
          <w:b w:val="0"/>
          <w:bCs w:val="0"/>
          <w:i w:val="0"/>
          <w:iCs w:val="0"/>
          <w:caps w:val="0"/>
          <w:color w:val="auto"/>
          <w:spacing w:val="0"/>
          <w:sz w:val="44"/>
          <w:szCs w:val="44"/>
          <w:lang w:val="en-US" w:eastAsia="zh-CN"/>
        </w:rPr>
        <w:t>送审稿</w:t>
      </w:r>
      <w:r>
        <w:rPr>
          <w:rFonts w:hint="default" w:ascii="Times New Roman" w:hAnsi="Times New Roman" w:eastAsia="方正小标宋简体" w:cs="Times New Roman"/>
          <w:b w:val="0"/>
          <w:bCs w:val="0"/>
          <w:i w:val="0"/>
          <w:iCs w:val="0"/>
          <w:caps w:val="0"/>
          <w:color w:val="auto"/>
          <w:spacing w:val="0"/>
          <w:sz w:val="44"/>
          <w:szCs w:val="44"/>
        </w:rPr>
        <w:t>）》的</w:t>
      </w:r>
      <w:r>
        <w:rPr>
          <w:rFonts w:hint="default" w:ascii="Times New Roman" w:hAnsi="Times New Roman" w:eastAsia="方正小标宋简体" w:cs="Times New Roman"/>
          <w:b w:val="0"/>
          <w:bCs w:val="0"/>
          <w:i w:val="0"/>
          <w:iCs w:val="0"/>
          <w:caps w:val="0"/>
          <w:color w:val="auto"/>
          <w:spacing w:val="0"/>
          <w:sz w:val="44"/>
          <w:szCs w:val="44"/>
          <w:lang w:eastAsia="zh-CN"/>
        </w:rPr>
        <w:t>起草</w:t>
      </w:r>
      <w:r>
        <w:rPr>
          <w:rFonts w:hint="default" w:ascii="Times New Roman" w:hAnsi="Times New Roman" w:eastAsia="方正小标宋简体" w:cs="Times New Roman"/>
          <w:b w:val="0"/>
          <w:bCs w:val="0"/>
          <w:i w:val="0"/>
          <w:iCs w:val="0"/>
          <w:caps w:val="0"/>
          <w:color w:val="auto"/>
          <w:spacing w:val="0"/>
          <w:sz w:val="44"/>
          <w:szCs w:val="44"/>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kern w:val="0"/>
          <w:sz w:val="32"/>
          <w:szCs w:val="32"/>
          <w:lang w:val="en-US" w:eastAsia="zh-CN" w:bidi="ar"/>
        </w:rPr>
        <w:t>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eastAsia="zh-CN" w:bidi="ar-SA"/>
        </w:rPr>
      </w:pPr>
      <w:r>
        <w:rPr>
          <w:rFonts w:hint="default" w:ascii="仿宋_GB2312" w:hAnsi="宋体" w:eastAsia="仿宋_GB2312" w:cs="宋体"/>
          <w:sz w:val="32"/>
          <w:szCs w:val="32"/>
          <w:lang w:val="en-US" w:eastAsia="zh-CN" w:bidi="ar-SA"/>
        </w:rPr>
        <w:t>按照三门峡市人大常委会立法任务交办会的安排，由市文化广电和旅游局牵头，市人大法工委指导、市政府办和市司法局配合，起草了</w:t>
      </w:r>
      <w:r>
        <w:rPr>
          <w:rFonts w:hint="default" w:ascii="仿宋_GB2312" w:hAnsi="宋体" w:eastAsia="仿宋_GB2312" w:cs="宋体"/>
          <w:sz w:val="32"/>
          <w:szCs w:val="32"/>
          <w:lang w:bidi="ar-SA"/>
        </w:rPr>
        <w:t>《</w:t>
      </w:r>
      <w:r>
        <w:rPr>
          <w:rFonts w:hint="default" w:ascii="仿宋_GB2312" w:hAnsi="宋体" w:eastAsia="仿宋_GB2312" w:cs="宋体"/>
          <w:sz w:val="32"/>
          <w:szCs w:val="32"/>
          <w:lang w:val="en-US" w:eastAsia="zh-CN" w:bidi="ar-SA"/>
        </w:rPr>
        <w:t>三门峡市</w:t>
      </w:r>
      <w:r>
        <w:rPr>
          <w:rFonts w:hint="default" w:ascii="仿宋_GB2312" w:hAnsi="宋体" w:eastAsia="仿宋_GB2312" w:cs="宋体"/>
          <w:sz w:val="32"/>
          <w:szCs w:val="32"/>
          <w:lang w:bidi="ar-SA"/>
        </w:rPr>
        <w:t>红色</w:t>
      </w:r>
      <w:r>
        <w:rPr>
          <w:rFonts w:hint="default" w:ascii="仿宋_GB2312" w:hAnsi="宋体" w:eastAsia="仿宋_GB2312" w:cs="宋体"/>
          <w:sz w:val="32"/>
          <w:szCs w:val="32"/>
          <w:lang w:val="en-US" w:eastAsia="zh-CN" w:bidi="ar-SA"/>
        </w:rPr>
        <w:t>文化</w:t>
      </w:r>
      <w:r>
        <w:rPr>
          <w:rFonts w:hint="default" w:ascii="仿宋_GB2312" w:hAnsi="宋体" w:eastAsia="仿宋_GB2312" w:cs="宋体"/>
          <w:sz w:val="32"/>
          <w:szCs w:val="32"/>
          <w:lang w:bidi="ar-SA"/>
        </w:rPr>
        <w:t>资源保护利用条例（</w:t>
      </w:r>
      <w:r>
        <w:rPr>
          <w:rFonts w:hint="default" w:ascii="仿宋_GB2312" w:hAnsi="宋体" w:eastAsia="仿宋_GB2312" w:cs="宋体"/>
          <w:sz w:val="32"/>
          <w:szCs w:val="32"/>
          <w:lang w:eastAsia="zh-CN" w:bidi="ar-SA"/>
        </w:rPr>
        <w:t>草案送审稿</w:t>
      </w:r>
      <w:r>
        <w:rPr>
          <w:rFonts w:hint="default" w:ascii="仿宋_GB2312" w:hAnsi="宋体" w:eastAsia="仿宋_GB2312" w:cs="宋体"/>
          <w:sz w:val="32"/>
          <w:szCs w:val="32"/>
          <w:lang w:bidi="ar-SA"/>
        </w:rPr>
        <w:t>）》（以下简称《条例（</w:t>
      </w:r>
      <w:r>
        <w:rPr>
          <w:rFonts w:hint="default" w:ascii="仿宋_GB2312" w:hAnsi="宋体" w:eastAsia="仿宋_GB2312" w:cs="宋体"/>
          <w:sz w:val="32"/>
          <w:szCs w:val="32"/>
          <w:lang w:eastAsia="zh-CN" w:bidi="ar-SA"/>
        </w:rPr>
        <w:t>草案送审稿</w:t>
      </w:r>
      <w:r>
        <w:rPr>
          <w:rFonts w:hint="default" w:ascii="仿宋_GB2312" w:hAnsi="宋体" w:eastAsia="仿宋_GB2312" w:cs="宋体"/>
          <w:sz w:val="32"/>
          <w:szCs w:val="32"/>
          <w:lang w:bidi="ar-SA"/>
        </w:rPr>
        <w:t>）》</w:t>
      </w:r>
      <w:r>
        <w:rPr>
          <w:rFonts w:hint="default" w:ascii="仿宋_GB2312" w:hAnsi="宋体" w:eastAsia="仿宋_GB2312" w:cs="宋体"/>
          <w:sz w:val="32"/>
          <w:szCs w:val="32"/>
          <w:lang w:eastAsia="zh-CN" w:bidi="ar-SA"/>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bidi="ar-SA"/>
        </w:rPr>
      </w:pPr>
      <w:r>
        <w:rPr>
          <w:rFonts w:hint="default" w:ascii="仿宋_GB2312" w:hAnsi="宋体" w:eastAsia="仿宋_GB2312" w:cs="宋体"/>
          <w:sz w:val="32"/>
          <w:szCs w:val="32"/>
          <w:lang w:val="en-US" w:eastAsia="zh-CN" w:bidi="ar-SA"/>
        </w:rPr>
        <w:t>现根据《中华人民共和国立法法》、《河南省地方立法条例》、《河南省人民政府拟定地方性法规草案和制定规章程序规定》的要求，对《条例（草案送审稿）》</w:t>
      </w:r>
      <w:r>
        <w:rPr>
          <w:rFonts w:hint="default" w:ascii="仿宋_GB2312" w:hAnsi="宋体" w:eastAsia="仿宋_GB2312" w:cs="宋体"/>
          <w:sz w:val="32"/>
          <w:szCs w:val="32"/>
          <w:lang w:bidi="ar-SA"/>
        </w:rPr>
        <w:t>作如下说明：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一、立法的必要性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中国共产党100年来为人民谋幸福、为民族谋复兴的波澜壮阔历史，留下了革命、建设和改革各个阶段的如璀璨繁星般的众多红色文化资源。党的十八大以来，习近平总书记多次强调，要把红色资源利用好，把红色传统发扬好，把红色基因传承好。在中国共产党百年华诞的历史时刻，全国多部保护和传承红色资源的地方性法规正式施行，为红色基因传承“保驾护航”。</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三门峡拥有丰厚的红色文化资源。80多年前，湖北、河南、陕西三省交界的广大地区，在星火燎原的土地革命战争中，在红军长征的滚滚铁流中，诞生了一个为中国革命作出重要贡献的根据地——鄂豫陕革命根据地。一寸山河一寸血，这里留下了大量革命旧址和大量的与重要人物、重要机构、重要事件有关的代表性实物纪念设施，以及重要文献声像资料等红色文化资源，共同构成富有三门峡特色的红色文化资源矩阵急需通过地方立法以期得到保护利用、传承弘扬。</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val="0"/>
          <w:bCs w:val="0"/>
          <w:sz w:val="32"/>
          <w:szCs w:val="32"/>
          <w:lang w:val="en-US" w:eastAsia="zh-CN" w:bidi="ar-SA"/>
        </w:rPr>
        <w:t>第一，</w:t>
      </w:r>
      <w:r>
        <w:rPr>
          <w:rFonts w:hint="default" w:ascii="仿宋_GB2312" w:hAnsi="宋体" w:eastAsia="仿宋_GB2312" w:cs="宋体"/>
          <w:sz w:val="32"/>
          <w:szCs w:val="32"/>
          <w:lang w:val="en-US" w:eastAsia="zh-CN" w:bidi="ar-SA"/>
        </w:rPr>
        <w:t>现有红色文化资源遭受了不同程度的破坏：有的遗址已经损毁，部分重要遗址亟待抢救性保护。大量遗址、遗迹处于山区村落，点多面广，且资金投入不足、保护力量薄弱，不少红色文化资源处于无人管、无人修的境地。保障资金投入和明确责任主体是保护利用红色文化资源的关键，通过地方立法来予以明确，将有效解决这些关键问题。</w:t>
      </w:r>
      <w:r>
        <w:rPr>
          <w:rFonts w:hint="default" w:ascii="仿宋_GB2312" w:hAnsi="宋体" w:eastAsia="仿宋_GB2312" w:cs="宋体"/>
          <w:b w:val="0"/>
          <w:bCs w:val="0"/>
          <w:sz w:val="32"/>
          <w:szCs w:val="32"/>
          <w:lang w:val="en-US" w:eastAsia="zh-CN" w:bidi="ar-SA"/>
        </w:rPr>
        <w:t>第二，</w:t>
      </w:r>
      <w:r>
        <w:rPr>
          <w:rFonts w:hint="default" w:ascii="仿宋_GB2312" w:hAnsi="宋体" w:eastAsia="仿宋_GB2312" w:cs="宋体"/>
          <w:sz w:val="32"/>
          <w:szCs w:val="32"/>
          <w:lang w:val="en-US" w:eastAsia="zh-CN" w:bidi="ar-SA"/>
        </w:rPr>
        <w:t>现行的《中华人民共和国文物保护法》《中华人民共和国英雄烈士保护法》等法律法规对红色文化资源保护有一些规定，但内容均比较原则化，保护对象覆盖面较窄，操作性不强。如由于历史、现实等各种原因，一些反映新民主主义革命时期、社会主义革命和建设时期的具有历史价值、纪念意义的旧址、遗址以及重要档案、文献等红色文化资源，都尚未纳入各级文物名录，保护利用工作无法可依。此外，文物保护法更多聚焦红色文化资源物质方面的发掘保护，对于红色文化精神资源的传承弘扬，没有明确的保护要求和手段。这就需要地方立法加以细化、补充和完善。</w:t>
      </w:r>
      <w:r>
        <w:rPr>
          <w:rFonts w:hint="default" w:ascii="仿宋_GB2312" w:hAnsi="宋体" w:eastAsia="仿宋_GB2312" w:cs="宋体"/>
          <w:b w:val="0"/>
          <w:bCs w:val="0"/>
          <w:sz w:val="32"/>
          <w:szCs w:val="32"/>
          <w:lang w:val="en-US" w:eastAsia="zh-CN" w:bidi="ar-SA"/>
        </w:rPr>
        <w:t>第三，</w:t>
      </w:r>
      <w:r>
        <w:rPr>
          <w:rFonts w:hint="default" w:ascii="仿宋_GB2312" w:hAnsi="宋体" w:eastAsia="仿宋_GB2312" w:cs="宋体"/>
          <w:sz w:val="32"/>
          <w:szCs w:val="32"/>
          <w:lang w:val="en-US" w:eastAsia="zh-CN" w:bidi="ar-SA"/>
        </w:rPr>
        <w:t>对红色文化资源的开发利用不足。当前三门峡市红色文化资源开发力度不够，很多革命遗址遗迹都只是例行保护，没有进一步开发利用，大量红色文化资源闲置；挖掘深度不够，只是简单地表现历史事件和人物，未对形象进行深化加工；宣传广度不够，除了红二十五军军部旧址、刘少奇故居、《论共产党员的修养》之外，目前三门峡市的红色文化资源在全国全省范围内知名度不高。通过地方立法，提升三门峡各单位的红色文化资源保护利用意识，有助于打响三门峡市红色文化品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习近平总书记在河南考察时强调：要讲好党的故事、革命的故事、根据地的故事、英雄烈士的故事……习总书记的讲话高屋建瓴，为三门峡市推进红色资源传承弘扬和保护利用提供了根本遵循。通过制定红色文化资源保护利用地方立法，以法治护航方式让其内含的红色基因和血脉得以更好传承弘扬，对于统筹整合全市红色文化资源，打响三门峡市红色文化品牌，传承红色基因，赓续红色血脉，具有十分重要的政治意义、现实意义和历史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二、制定《条例》的可行性</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（一）《条例（草案送审稿）》与上位法不相抵触。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主要通过调查认定、保护利用、传承弘扬实现红色文化资源的永续保护。《条例》没有与之一脉相承的上位法，与部分相关的上位法，如《中华人民共和国文物保护法》《中华人民共和国英雄烈士保护法》《中华人民共和国旅游法》及国家有关政策也不相抵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（二）《条例（草案送审稿）》未超越地方立法权限。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中华人民共和国立法法》第七十二条规定：“设区的市人民代表大会及其常务委员会根据本市的具体情况和实际需要，在不同宪法、法律、行政法规和本省、自治区的地方性法规相抵触的前提下，可以对城乡建设与管理、环境保护、历史文化保护等方面的事项制定地方性法规”，《条例（草案送审稿）》主要涉及历史文化保护方面，属地方立法权限范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（三）《条例（草案送审稿）》符合三门峡客观实际。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自20世纪30年代，红二十五军的足迹踏入这里开始，三门峡市红色故事不断，红色资源丰富。根据中共三门峡市委党史地方史志办公室三史〔2021〕13号文件，三门峡市共有革命遗址262处，其中党史遗址共130处，重要历史事件和重要机构旧址66处，重要人物活动纪念地7处，烈士陵园、烈士墓和纪念场馆（设施）57处。130处党史遗址中，未列入各级保护利用的有76处。党史遗址命名各级文物保护单位有54处，其中八路军渑池兵站旧址、刘少奇故居、中共豫西特委扩大干部会议旧址、红色十五军军部旧址等8处被列为省级文物保护单位，曹靖华故居、周总理视察大营纪念馆、黄河三门峡大坝截流石、马跑泉渑池县委旧址等15处市级文物保护单位，杜寺村小组和庙道会起义旧址等31处县级文物保护单位。党史遗址命名各级爱国主义教育示范基地共15处，其中省级2处，分别为刘少奇旧居和黄河三门峡展览馆；市级6处，县级7处。党史遗址命名各级党史教育基地共22处，其中省级2处，分别为八路军渑池兵站纪念馆和三门峡市党史方志馆，市级20处。已毁损的党史遗址有15处，亟待保护的党史遗址有19处。由于三门峡红色文化资源体量庞大，且情况复杂，该条例草案规定，对于红色文化资源按照一定程序予以调查认定，并按照一定的规则进行保护利用、传承弘扬，符合三门峡目前的客观实际。</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（四）其他地方有可借鉴。</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经验红色文化资源保护利用方面虽然没有国家层面的上位法，但现已完成地方立法的有《四川省红色资源保护传承条例 》《山东省红色文化保护传承条例》《安徽省红色资源保护和传承条例》《湖南省红色资源保护和利用条例》《上海市红色资源传承弘扬和保护利用条例 》《南京市红色文化资源保护利用条例》《天津市红色资源保护与传承条例》《信阳市红色资源保护条例》《山南市红色文化资源保护利用条例》等。其他地区的立法及实施情况，为我市《条例（草案送审稿）》的起草提供了可借鉴经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三、《条例（草案送审稿）》制定依据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草案送审稿）》制定依据有：《中华人民共和国文物保护法》《中华人民共和国英雄烈士保护法》《中华人民共和国旅游法》《中华人民共和国非物质文化遗产保护法》《中华人民共和国公共文化服务保障法》《中华人民共和国安全生产法》《中华人民共和国文物保护法实施条例》《博物馆条例》《河南省旅游条例》《河南省实施&lt;中华人民共和国文物保护法》办法》《河南省革命老区振兴发展条例》等法律、法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四、《条例（草案送审稿）》起草过程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2021年11月9日市人大常委会召开的立法任务交办会，决定由三门峡市文化广电和旅游局牵头，市政府办和市司法局、市委党史方志办配合等单位配合，起草《条例（草案送审稿）》。</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接到立法起草任务后，三门峡市文广旅局成立了由党组书记、局长毋慧芳同志任组长的立法起草工作领导小组。   同时，与市委党史方志办等单位积极对接，</w:t>
      </w:r>
      <w:r>
        <w:rPr>
          <w:rFonts w:hint="eastAsia" w:ascii="仿宋_GB2312" w:hAnsi="宋体" w:eastAsia="仿宋_GB2312" w:cs="宋体"/>
          <w:sz w:val="32"/>
          <w:szCs w:val="32"/>
          <w:lang w:val="en-US" w:eastAsia="zh-CN" w:bidi="ar-SA"/>
        </w:rPr>
        <w:t>并</w:t>
      </w:r>
      <w:r>
        <w:rPr>
          <w:rFonts w:hint="default" w:ascii="仿宋_GB2312" w:hAnsi="宋体" w:eastAsia="仿宋_GB2312" w:cs="宋体"/>
          <w:sz w:val="32"/>
          <w:szCs w:val="32"/>
          <w:lang w:val="en-US" w:eastAsia="zh-CN" w:bidi="ar-SA"/>
        </w:rPr>
        <w:t>对省内外红色资源保护利用方面的法规进行收集，收集了国内其他地区红色资源保护利用相关立法，为《三门峡市红色文化资源保护利用条例》的起草奠定了工作基础。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通过充分调查研究，根据《中华人民共和国立法法》的有关规定，撰写了基本框架，12月下旬形成了《条例（草案代拟稿）》，12月底向</w:t>
      </w:r>
      <w:r>
        <w:rPr>
          <w:rFonts w:hint="eastAsia" w:ascii="仿宋_GB2312" w:hAnsi="宋体" w:eastAsia="仿宋_GB2312" w:cs="宋体"/>
          <w:sz w:val="32"/>
          <w:szCs w:val="32"/>
          <w:lang w:val="en-US" w:eastAsia="zh-CN" w:bidi="ar-SA"/>
        </w:rPr>
        <w:t>发改委</w:t>
      </w:r>
      <w:r>
        <w:rPr>
          <w:rFonts w:hint="default" w:ascii="仿宋_GB2312" w:hAnsi="宋体" w:eastAsia="仿宋_GB2312" w:cs="宋体"/>
          <w:sz w:val="32"/>
          <w:szCs w:val="32"/>
          <w:lang w:val="en-US" w:eastAsia="zh-CN" w:bidi="ar-SA"/>
        </w:rPr>
        <w:t>等10多家市直单位、各县（市、区）政府发函征求意见；12月29日在《三门峡日报》和市文广旅局网站全文刊发《条例（草案代拟稿）》公开征求社会意见；2022年1月6日召开《条例（草案代拟稿）》论证会，召开由党史专家、法律专家、文化旅游专家和市直有关单位参加的论证会；2022年1月10日向各县（市、区）文旅部门和相关企事业单位发函征求意见。在上述基础上，形成了《条例（草案送审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lang w:val="en-US" w:eastAsia="zh-CN"/>
        </w:rPr>
      </w:pPr>
      <w:r>
        <w:rPr>
          <w:rFonts w:hint="default" w:ascii="Times New Roman" w:hAnsi="Times New Roman" w:eastAsia="黑体" w:cs="Times New Roman"/>
          <w:b w:val="0"/>
          <w:bCs w:val="0"/>
          <w:i w:val="0"/>
          <w:iCs w:val="0"/>
          <w:caps w:val="0"/>
          <w:color w:val="auto"/>
          <w:spacing w:val="0"/>
          <w:sz w:val="32"/>
          <w:szCs w:val="32"/>
          <w:lang w:val="en-US" w:eastAsia="zh-CN"/>
        </w:rPr>
        <w:t>五</w:t>
      </w:r>
      <w:r>
        <w:rPr>
          <w:rFonts w:hint="default" w:ascii="Times New Roman" w:hAnsi="Times New Roman" w:eastAsia="黑体" w:cs="Times New Roman"/>
          <w:b w:val="0"/>
          <w:bCs w:val="0"/>
          <w:i w:val="0"/>
          <w:iCs w:val="0"/>
          <w:caps w:val="0"/>
          <w:color w:val="auto"/>
          <w:spacing w:val="0"/>
          <w:sz w:val="32"/>
          <w:szCs w:val="32"/>
        </w:rPr>
        <w:t>、《条例（</w:t>
      </w:r>
      <w:r>
        <w:rPr>
          <w:rFonts w:hint="default" w:ascii="Times New Roman" w:hAnsi="Times New Roman" w:eastAsia="黑体" w:cs="Times New Roman"/>
          <w:b w:val="0"/>
          <w:bCs w:val="0"/>
          <w:i w:val="0"/>
          <w:iCs w:val="0"/>
          <w:caps w:val="0"/>
          <w:color w:val="auto"/>
          <w:spacing w:val="0"/>
          <w:sz w:val="32"/>
          <w:szCs w:val="32"/>
          <w:lang w:eastAsia="zh-CN"/>
        </w:rPr>
        <w:t>草案送审稿</w:t>
      </w:r>
      <w:r>
        <w:rPr>
          <w:rFonts w:hint="default" w:ascii="Times New Roman" w:hAnsi="Times New Roman" w:eastAsia="黑体" w:cs="Times New Roman"/>
          <w:b w:val="0"/>
          <w:bCs w:val="0"/>
          <w:i w:val="0"/>
          <w:iCs w:val="0"/>
          <w:caps w:val="0"/>
          <w:color w:val="auto"/>
          <w:spacing w:val="0"/>
          <w:sz w:val="32"/>
          <w:szCs w:val="32"/>
        </w:rPr>
        <w:t>）》的主要内容</w:t>
      </w:r>
      <w:r>
        <w:rPr>
          <w:rFonts w:hint="default" w:ascii="Times New Roman" w:hAnsi="Times New Roman" w:eastAsia="黑体" w:cs="Times New Roman"/>
          <w:b w:val="0"/>
          <w:bCs w:val="0"/>
          <w:i w:val="0"/>
          <w:iCs w:val="0"/>
          <w:caps w:val="0"/>
          <w:color w:val="auto"/>
          <w:spacing w:val="0"/>
          <w:sz w:val="32"/>
          <w:szCs w:val="32"/>
          <w:lang w:val="en-US" w:eastAsia="zh-CN"/>
        </w:rPr>
        <w:t>及征求意见处理情况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（一）《条例（草案送审稿）》的主要内容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《条例（草案送审稿）》共六章五十三条，分为总则、调查认定、保护利用、传承弘扬、法律责任和附则等内容。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第一章总则（共九条）。主要规定了立法目的、调整对象、工作原则、经费保障、部门职责、社会监督和鼓励措施。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第二章调查认定（共六条）。主要规定了建立红色文化资源名录制度，对红色文化资源进行普查调查、认定、名录管理等。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第三章保护利用（共十条）。主要规定了保护规划、专项保护、禁止行为、工程建设与作业要求、保护修缮义务、原址保护、征集收集等。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第四章传承弘扬（共二十条）。主要规定了三门峡精神内核、理论和应用研究、旅游开发、研学教育等。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第五章法律责任（共六条）。针对一些禁止性规定相应设置了法律责任。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第六章附则（共两条）。规定了具有行政管理职能的同级委员会职责权利问题、条例的实施日期等。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（二）《条例（草案送审稿）》征求意见处理情况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1.关于红色文化资源的定义。</w:t>
      </w:r>
      <w:r>
        <w:rPr>
          <w:rFonts w:hint="default" w:ascii="仿宋_GB2312" w:hAnsi="宋体" w:eastAsia="仿宋_GB2312" w:cs="宋体"/>
          <w:sz w:val="32"/>
          <w:szCs w:val="32"/>
          <w:lang w:val="en-US" w:eastAsia="zh-CN" w:bidi="ar-SA"/>
        </w:rPr>
        <w:t>条例草案送审稿对红色文化资源的定义确定为：中国共产党领导全国各族人民在新民主主义革命时期、社会主义革命和建设时期、改革开放和社会主义现代化建设时期、中国特色社会主义新时代所形成的具有历史价值、纪念意义、教育意义的下列物质文化资源和精神文化资源，并以列举方式定义。党史办提出应将“改革开放和社会主义现代化建设</w:t>
      </w:r>
      <w:bookmarkStart w:id="0" w:name="_GoBack"/>
      <w:bookmarkEnd w:id="0"/>
      <w:r>
        <w:rPr>
          <w:rFonts w:hint="default" w:ascii="仿宋_GB2312" w:hAnsi="宋体" w:eastAsia="仿宋_GB2312" w:cs="宋体"/>
          <w:sz w:val="32"/>
          <w:szCs w:val="32"/>
          <w:lang w:val="en-US" w:eastAsia="zh-CN" w:bidi="ar-SA"/>
        </w:rPr>
        <w:t>时期”改为“改革开放和社会主义现代化建设新时期”，经研究，认为该建议的表述更准确，决定采纳。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2.关于《条例（草案送审稿）》第四、第五、第六条的顺序以及内容问题。</w:t>
      </w:r>
      <w:r>
        <w:rPr>
          <w:rFonts w:hint="default" w:ascii="仿宋_GB2312" w:hAnsi="宋体" w:eastAsia="仿宋_GB2312" w:cs="宋体"/>
          <w:sz w:val="32"/>
          <w:szCs w:val="32"/>
          <w:lang w:val="en-US" w:eastAsia="zh-CN" w:bidi="ar-SA"/>
        </w:rPr>
        <w:t>专家论证会上，部分专家提出将三个条文整合成两条，将第五条第一款单独整理成一条。经研究，我们予以采纳。</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3.关于三门峡市红色文化资源优势的传承与弘扬。</w:t>
      </w:r>
      <w:r>
        <w:rPr>
          <w:rFonts w:hint="default" w:ascii="仿宋_GB2312" w:hAnsi="宋体" w:eastAsia="仿宋_GB2312" w:cs="宋体"/>
          <w:sz w:val="32"/>
          <w:szCs w:val="32"/>
          <w:lang w:val="en-US" w:eastAsia="zh-CN" w:bidi="ar-SA"/>
        </w:rPr>
        <w:t>为打造三门峡特色红色文化资源品牌，应当强调三门峡市本地的红色文化资源优势。条例草案送审稿确定为：加强对中流砥柱、大坝建设、《论共产党员的修养》以及三次创业实践中形成的三门峡精神内核等红色文化资源的发掘、研究、展示，推动以伟大建党精神为源头的精神谱系的传承弘扬，弘扬红色文化、传承红色基因。党史办建议增加“在全市上下发扬‘坚韧不拔、拼搏创新、开放包容、造福人民’的城市精神”。经研究，该城市精神尚未经过认定，故暂不宜在条例中列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3"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b/>
          <w:bCs/>
          <w:sz w:val="32"/>
          <w:szCs w:val="32"/>
          <w:lang w:val="en-US" w:eastAsia="zh-CN" w:bidi="ar-SA"/>
        </w:rPr>
        <w:t>4.关于卢氏县人民政府提出的建立红色基因传承人制度。</w:t>
      </w:r>
      <w:r>
        <w:rPr>
          <w:rFonts w:hint="default" w:ascii="仿宋_GB2312" w:hAnsi="宋体" w:eastAsia="仿宋_GB2312" w:cs="宋体"/>
          <w:sz w:val="32"/>
          <w:szCs w:val="32"/>
          <w:lang w:val="en-US" w:eastAsia="zh-CN" w:bidi="ar-SA"/>
        </w:rPr>
        <w:t>经研究认为</w:t>
      </w:r>
      <w:r>
        <w:rPr>
          <w:rFonts w:hint="eastAsia" w:ascii="仿宋_GB2312" w:hAnsi="宋体" w:eastAsia="仿宋_GB2312" w:cs="宋体"/>
          <w:sz w:val="32"/>
          <w:szCs w:val="32"/>
          <w:lang w:val="en-US" w:eastAsia="zh-CN" w:bidi="ar-SA"/>
        </w:rPr>
        <w:t>，</w:t>
      </w:r>
      <w:r>
        <w:rPr>
          <w:rFonts w:hint="default" w:ascii="仿宋_GB2312" w:hAnsi="宋体" w:eastAsia="仿宋_GB2312" w:cs="宋体"/>
          <w:sz w:val="32"/>
          <w:szCs w:val="32"/>
          <w:lang w:val="en-US" w:eastAsia="zh-CN" w:bidi="ar-SA"/>
        </w:rPr>
        <w:t>《河南省革命老区振兴发展促进条例》虽然规定了红色基因传承人制度，但三门峡同革命老区的情况不同，暂不适宜建立该制度。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以上起草说明连同《条例（草案送审稿）》，请予审议。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jc w:val="both"/>
        <w:textAlignment w:val="auto"/>
        <w:rPr>
          <w:rFonts w:hint="default" w:ascii="仿宋_GB2312" w:hAnsi="宋体" w:eastAsia="仿宋_GB2312" w:cs="宋体"/>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5440" w:firstLineChars="1700"/>
        <w:contextualSpacing/>
        <w:jc w:val="both"/>
        <w:textAlignment w:val="auto"/>
        <w:rPr>
          <w:rFonts w:hint="default" w:ascii="仿宋_GB2312" w:hAnsi="宋体" w:eastAsia="仿宋_GB2312" w:cs="宋体"/>
          <w:sz w:val="32"/>
          <w:szCs w:val="32"/>
          <w:lang w:val="en-US" w:eastAsia="zh-CN" w:bidi="ar-SA"/>
        </w:rPr>
      </w:pPr>
      <w:r>
        <w:rPr>
          <w:rFonts w:hint="default" w:ascii="仿宋_GB2312" w:hAnsi="宋体" w:eastAsia="仿宋_GB2312" w:cs="宋体"/>
          <w:sz w:val="32"/>
          <w:szCs w:val="32"/>
          <w:lang w:val="en-US" w:eastAsia="zh-CN" w:bidi="ar-SA"/>
        </w:rPr>
        <w:t>2022年</w:t>
      </w:r>
      <w:r>
        <w:rPr>
          <w:rFonts w:hint="eastAsia" w:ascii="仿宋_GB2312" w:hAnsi="宋体" w:eastAsia="仿宋_GB2312" w:cs="宋体"/>
          <w:sz w:val="32"/>
          <w:szCs w:val="32"/>
          <w:lang w:val="en-US" w:eastAsia="zh-CN" w:bidi="ar-SA"/>
        </w:rPr>
        <w:t>1</w:t>
      </w:r>
      <w:r>
        <w:rPr>
          <w:rFonts w:hint="default" w:ascii="仿宋_GB2312" w:hAnsi="宋体" w:eastAsia="仿宋_GB2312" w:cs="宋体"/>
          <w:sz w:val="32"/>
          <w:szCs w:val="32"/>
          <w:lang w:val="en-US" w:eastAsia="zh-CN" w:bidi="ar-SA"/>
        </w:rPr>
        <w:t>月</w:t>
      </w:r>
      <w:r>
        <w:rPr>
          <w:rFonts w:hint="eastAsia" w:ascii="仿宋_GB2312" w:hAnsi="宋体" w:eastAsia="仿宋_GB2312" w:cs="宋体"/>
          <w:sz w:val="32"/>
          <w:szCs w:val="32"/>
          <w:lang w:val="en-US" w:eastAsia="zh-CN" w:bidi="ar-SA"/>
        </w:rPr>
        <w:t>30</w:t>
      </w:r>
      <w:r>
        <w:rPr>
          <w:rFonts w:hint="default" w:ascii="仿宋_GB2312" w:hAnsi="宋体" w:eastAsia="仿宋_GB2312" w:cs="宋体"/>
          <w:sz w:val="32"/>
          <w:szCs w:val="32"/>
          <w:lang w:val="en-US" w:eastAsia="zh-CN" w:bidi="ar-S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405B87-8D88-4EEB-8E3C-29D21B29C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CC0038D-14E5-433A-80EE-5C47438954AC}"/>
  </w:font>
  <w:font w:name="仿宋_GB2312">
    <w:panose1 w:val="02010609030101010101"/>
    <w:charset w:val="86"/>
    <w:family w:val="auto"/>
    <w:pitch w:val="default"/>
    <w:sig w:usb0="00000001" w:usb1="080E0000" w:usb2="00000000" w:usb3="00000000" w:csb0="00040000" w:csb1="00000000"/>
    <w:embedRegular r:id="rId3" w:fontKey="{BED83D97-3055-43A3-A741-718A2F0B3B11}"/>
  </w:font>
  <w:font w:name="楷体">
    <w:panose1 w:val="02010609060101010101"/>
    <w:charset w:val="86"/>
    <w:family w:val="auto"/>
    <w:pitch w:val="default"/>
    <w:sig w:usb0="800002BF" w:usb1="38CF7CFA" w:usb2="00000016" w:usb3="00000000" w:csb0="00040001" w:csb1="00000000"/>
    <w:embedRegular r:id="rId4" w:fontKey="{72FF51FF-49F8-4C40-B37B-8BBB773FAA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NDA0MjQyNWFhZmUxNTljZjM2ZDJlYmQ2YzliMWUifQ=="/>
  </w:docVars>
  <w:rsids>
    <w:rsidRoot w:val="00000000"/>
    <w:rsid w:val="003D1430"/>
    <w:rsid w:val="01F50213"/>
    <w:rsid w:val="022B7191"/>
    <w:rsid w:val="02D92EC0"/>
    <w:rsid w:val="04FD44F7"/>
    <w:rsid w:val="06E61678"/>
    <w:rsid w:val="0A42321C"/>
    <w:rsid w:val="0D084B45"/>
    <w:rsid w:val="0DAB3D3C"/>
    <w:rsid w:val="0FD714C6"/>
    <w:rsid w:val="104776FE"/>
    <w:rsid w:val="11A6405B"/>
    <w:rsid w:val="11C2052A"/>
    <w:rsid w:val="12343704"/>
    <w:rsid w:val="13FC18CF"/>
    <w:rsid w:val="159C346D"/>
    <w:rsid w:val="16BB18A3"/>
    <w:rsid w:val="17BF72EC"/>
    <w:rsid w:val="18E53FBC"/>
    <w:rsid w:val="1A8A4E7B"/>
    <w:rsid w:val="1ACD1E9D"/>
    <w:rsid w:val="1CA60346"/>
    <w:rsid w:val="1D2C149A"/>
    <w:rsid w:val="1E33450E"/>
    <w:rsid w:val="1FEB0953"/>
    <w:rsid w:val="20792B1A"/>
    <w:rsid w:val="20DB793B"/>
    <w:rsid w:val="20EC607E"/>
    <w:rsid w:val="20F8571B"/>
    <w:rsid w:val="221C5000"/>
    <w:rsid w:val="22806203"/>
    <w:rsid w:val="230B3170"/>
    <w:rsid w:val="24752A34"/>
    <w:rsid w:val="254D29B4"/>
    <w:rsid w:val="27657BCD"/>
    <w:rsid w:val="28084254"/>
    <w:rsid w:val="28EE6C1F"/>
    <w:rsid w:val="29053762"/>
    <w:rsid w:val="29A1287A"/>
    <w:rsid w:val="2C2C60C8"/>
    <w:rsid w:val="2D5421B8"/>
    <w:rsid w:val="2EFD5457"/>
    <w:rsid w:val="2F8D7E00"/>
    <w:rsid w:val="2FC17729"/>
    <w:rsid w:val="303352D4"/>
    <w:rsid w:val="309B0718"/>
    <w:rsid w:val="315512CA"/>
    <w:rsid w:val="331F3816"/>
    <w:rsid w:val="332350B4"/>
    <w:rsid w:val="33900270"/>
    <w:rsid w:val="347110E4"/>
    <w:rsid w:val="34CD267E"/>
    <w:rsid w:val="37921E46"/>
    <w:rsid w:val="37AC7A82"/>
    <w:rsid w:val="38997F35"/>
    <w:rsid w:val="39F01D5F"/>
    <w:rsid w:val="3CB85245"/>
    <w:rsid w:val="3CE13746"/>
    <w:rsid w:val="3EB34B85"/>
    <w:rsid w:val="3FA455B9"/>
    <w:rsid w:val="40317D44"/>
    <w:rsid w:val="40D15022"/>
    <w:rsid w:val="41117D93"/>
    <w:rsid w:val="416C7340"/>
    <w:rsid w:val="41F95759"/>
    <w:rsid w:val="45CA4405"/>
    <w:rsid w:val="46D00C57"/>
    <w:rsid w:val="473E081F"/>
    <w:rsid w:val="48074245"/>
    <w:rsid w:val="4A8C136D"/>
    <w:rsid w:val="4AE66C9B"/>
    <w:rsid w:val="4B1530DD"/>
    <w:rsid w:val="4BE07C46"/>
    <w:rsid w:val="4F343D4D"/>
    <w:rsid w:val="514E201E"/>
    <w:rsid w:val="515A0250"/>
    <w:rsid w:val="51842D54"/>
    <w:rsid w:val="525D71CF"/>
    <w:rsid w:val="52E2243E"/>
    <w:rsid w:val="58C53988"/>
    <w:rsid w:val="5C5F314B"/>
    <w:rsid w:val="5CAD0E5B"/>
    <w:rsid w:val="5CAF1686"/>
    <w:rsid w:val="5CCF1C38"/>
    <w:rsid w:val="5DF9450E"/>
    <w:rsid w:val="5E5261B4"/>
    <w:rsid w:val="5E722399"/>
    <w:rsid w:val="5F003A5D"/>
    <w:rsid w:val="5F02766E"/>
    <w:rsid w:val="5F0340B4"/>
    <w:rsid w:val="61954B1F"/>
    <w:rsid w:val="61D01368"/>
    <w:rsid w:val="625E6CB7"/>
    <w:rsid w:val="636F6198"/>
    <w:rsid w:val="63E36016"/>
    <w:rsid w:val="65221487"/>
    <w:rsid w:val="6611591F"/>
    <w:rsid w:val="66204485"/>
    <w:rsid w:val="68CF1095"/>
    <w:rsid w:val="696B6C3A"/>
    <w:rsid w:val="6A843983"/>
    <w:rsid w:val="6B247CCA"/>
    <w:rsid w:val="6BF20651"/>
    <w:rsid w:val="6DD93CC9"/>
    <w:rsid w:val="6E0A27EC"/>
    <w:rsid w:val="6EA86C4E"/>
    <w:rsid w:val="6EB91F46"/>
    <w:rsid w:val="6F5733AB"/>
    <w:rsid w:val="6FC22689"/>
    <w:rsid w:val="71722787"/>
    <w:rsid w:val="719C20A0"/>
    <w:rsid w:val="71F0415D"/>
    <w:rsid w:val="730613D9"/>
    <w:rsid w:val="73602EA4"/>
    <w:rsid w:val="74EF206C"/>
    <w:rsid w:val="79F3642F"/>
    <w:rsid w:val="7A2D0179"/>
    <w:rsid w:val="7CB9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4280</Words>
  <Characters>4330</Characters>
  <Lines>0</Lines>
  <Paragraphs>0</Paragraphs>
  <TotalTime>15</TotalTime>
  <ScaleCrop>false</ScaleCrop>
  <LinksUpToDate>false</LinksUpToDate>
  <CharactersWithSpaces>4336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2022-01-19T06:56:00Z</dcterms:created>
  <dc:creator>fanxiaofeng</dc:creator>
  <cp:lastModifiedBy>Administrator</cp:lastModifiedBy>
  <cp:lastPrinted>2022-01-30T07:10:00Z</cp:lastPrinted>
  <dcterms:modified xsi:type="dcterms:W3CDTF">2023-08-25T09:06:40Z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887E6E8B602E4595B0DEA7F4601967E8</vt:lpwstr>
  </property>
</Properties>
</file>