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宋体" w:hAnsi="宋体" w:eastAsia="宋体" w:cs="宋体"/>
          <w:b/>
          <w:bCs/>
          <w:color w:val="333333"/>
          <w:kern w:val="0"/>
          <w:sz w:val="24"/>
          <w:szCs w:val="24"/>
        </w:rPr>
      </w:pPr>
    </w:p>
    <w:p>
      <w:pPr>
        <w:widowControl/>
        <w:shd w:val="clear" w:color="auto" w:fill="FFFFFF"/>
        <w:jc w:val="center"/>
        <w:rPr>
          <w:rFonts w:ascii="宋体" w:hAnsi="宋体" w:eastAsia="宋体" w:cs="宋体"/>
          <w:color w:val="333333"/>
          <w:kern w:val="0"/>
          <w:sz w:val="24"/>
          <w:szCs w:val="24"/>
        </w:rPr>
      </w:pPr>
      <w:r>
        <w:rPr>
          <w:rFonts w:ascii="宋体" w:hAnsi="宋体" w:eastAsia="宋体" w:cs="宋体"/>
          <w:b/>
          <w:bCs/>
          <w:color w:val="333333"/>
          <w:kern w:val="0"/>
          <w:sz w:val="36"/>
          <w:szCs w:val="36"/>
        </w:rPr>
        <w:t>三门峡市人民政府国有资产监督管理委员会2024年政府信息公开工作年度报告</w:t>
      </w:r>
    </w:p>
    <w:p>
      <w:pPr>
        <w:widowControl/>
        <w:shd w:val="clear" w:color="auto" w:fill="FFFFFF"/>
        <w:ind w:firstLine="480"/>
        <w:rPr>
          <w:rFonts w:ascii="宋体" w:hAnsi="宋体" w:eastAsia="宋体" w:cs="宋体"/>
          <w:color w:val="333333"/>
          <w:kern w:val="0"/>
          <w:sz w:val="24"/>
          <w:szCs w:val="24"/>
        </w:rPr>
      </w:pPr>
      <w:bookmarkStart w:id="0" w:name="_GoBack"/>
      <w:bookmarkEnd w:id="0"/>
    </w:p>
    <w:p>
      <w:pPr>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一、总体情况</w:t>
      </w:r>
    </w:p>
    <w:p>
      <w:pPr>
        <w:widowControl/>
        <w:shd w:val="clear" w:color="auto" w:fill="FFFFFF"/>
        <w:ind w:firstLine="480"/>
        <w:rPr>
          <w:rFonts w:ascii="宋体" w:hAnsi="宋体" w:eastAsia="宋体" w:cs="宋体"/>
          <w:color w:val="333333"/>
          <w:kern w:val="0"/>
          <w:sz w:val="24"/>
          <w:szCs w:val="24"/>
        </w:rPr>
      </w:pPr>
      <w:r>
        <w:t>（一）主动公开：</w:t>
      </w:r>
    </w:p>
    <w:p>
      <w:pPr>
        <w:widowControl/>
        <w:shd w:val="clear" w:color="auto" w:fill="FFFFFF"/>
        <w:ind w:firstLine="480"/>
        <w:rPr>
          <w:rFonts w:ascii="宋体" w:hAnsi="宋体" w:eastAsia="宋体" w:cs="宋体"/>
          <w:color w:val="333333"/>
          <w:kern w:val="0"/>
          <w:sz w:val="24"/>
          <w:szCs w:val="24"/>
        </w:rPr>
      </w:pPr>
      <w:r>
        <w:t>信息发布及时全面。严格按照政府信息公开条例等相关规定，在三门峡市政府门户网站、三门峡市财政局门户网站及时发布工作信息。于三门峡市政府门户网站的政府信息公开栏之法定主动公开内容板块，全面公开领导班子成员及分工、主要工作职能、内设机构及职责、下属机构信息等；在三门峡市财政局门户网站的政府信息公开之市级部门预算部分，及时发布本年度预算信息，主动接受社会各界对我委财务工作的严格监督。</w:t>
      </w:r>
    </w:p>
    <w:p>
      <w:pPr>
        <w:widowControl/>
        <w:shd w:val="clear" w:color="auto" w:fill="FFFFFF"/>
        <w:ind w:firstLine="480"/>
        <w:rPr>
          <w:rFonts w:ascii="宋体" w:hAnsi="宋体" w:eastAsia="宋体" w:cs="宋体"/>
          <w:color w:val="333333"/>
          <w:kern w:val="0"/>
          <w:sz w:val="24"/>
          <w:szCs w:val="24"/>
        </w:rPr>
      </w:pPr>
      <w:r>
        <w:t>政策解读注重实效。及时在微信公众号推送相关政策文件10余篇，并详细阐述政策的出台背景、主要考虑因素以及主要影响等内容，切实提升了政策解读的便利性和时效性，确保政策能够被公众更好地理解和把握。</w:t>
      </w:r>
    </w:p>
    <w:p>
      <w:pPr>
        <w:widowControl/>
        <w:shd w:val="clear" w:color="auto" w:fill="FFFFFF"/>
        <w:ind w:firstLine="480"/>
        <w:rPr>
          <w:rFonts w:ascii="宋体" w:hAnsi="宋体" w:eastAsia="宋体" w:cs="宋体"/>
          <w:color w:val="333333"/>
          <w:kern w:val="0"/>
          <w:sz w:val="24"/>
          <w:szCs w:val="24"/>
        </w:rPr>
      </w:pPr>
      <w:r>
        <w:t>（二）依申请公开：</w:t>
      </w:r>
    </w:p>
    <w:p>
      <w:pPr>
        <w:widowControl/>
        <w:shd w:val="clear" w:color="auto" w:fill="FFFFFF"/>
        <w:ind w:firstLine="480"/>
        <w:rPr>
          <w:rFonts w:ascii="宋体" w:hAnsi="宋体" w:eastAsia="宋体" w:cs="宋体"/>
          <w:color w:val="333333"/>
          <w:kern w:val="0"/>
          <w:sz w:val="24"/>
          <w:szCs w:val="24"/>
        </w:rPr>
      </w:pPr>
      <w:r>
        <w:t>2024年，我委严格执行政府信息依申请公开制度，受理机构联系方式明晰畅通，依法、规范、有序推进我委政府信息依申请公开工作。2024年，我委未收到信息公开申请。</w:t>
      </w:r>
    </w:p>
    <w:p>
      <w:pPr>
        <w:widowControl/>
        <w:shd w:val="clear" w:color="auto" w:fill="FFFFFF"/>
        <w:ind w:firstLine="480"/>
        <w:rPr>
          <w:rFonts w:ascii="宋体" w:hAnsi="宋体" w:eastAsia="宋体" w:cs="宋体"/>
          <w:color w:val="333333"/>
          <w:kern w:val="0"/>
          <w:sz w:val="24"/>
          <w:szCs w:val="24"/>
        </w:rPr>
      </w:pPr>
      <w:r>
        <w:t>（三）政府信息管理：</w:t>
      </w:r>
    </w:p>
    <w:p>
      <w:pPr>
        <w:widowControl/>
        <w:shd w:val="clear" w:color="auto" w:fill="FFFFFF"/>
        <w:ind w:firstLine="480"/>
        <w:rPr>
          <w:rFonts w:ascii="宋体" w:hAnsi="宋体" w:eastAsia="宋体" w:cs="宋体"/>
          <w:color w:val="333333"/>
          <w:kern w:val="0"/>
          <w:sz w:val="24"/>
          <w:szCs w:val="24"/>
        </w:rPr>
      </w:pPr>
      <w:r>
        <w:t>为加强源头治理，我委严格执行“三审三校”制度，确保所发布信息的准确性、完整性和权威性。</w:t>
      </w:r>
    </w:p>
    <w:p>
      <w:pPr>
        <w:widowControl/>
        <w:shd w:val="clear" w:color="auto" w:fill="FFFFFF"/>
        <w:ind w:firstLine="480"/>
        <w:rPr>
          <w:rFonts w:ascii="宋体" w:hAnsi="宋体" w:eastAsia="宋体" w:cs="宋体"/>
          <w:color w:val="333333"/>
          <w:kern w:val="0"/>
          <w:sz w:val="24"/>
          <w:szCs w:val="24"/>
        </w:rPr>
      </w:pPr>
      <w:r>
        <w:t>（四）政府信息公开平台建设：</w:t>
      </w:r>
    </w:p>
    <w:p>
      <w:pPr>
        <w:widowControl/>
        <w:shd w:val="clear" w:color="auto" w:fill="FFFFFF"/>
        <w:ind w:firstLine="480"/>
        <w:rPr>
          <w:rFonts w:ascii="宋体" w:hAnsi="宋体" w:eastAsia="宋体" w:cs="宋体"/>
          <w:color w:val="333333"/>
          <w:kern w:val="0"/>
          <w:sz w:val="24"/>
          <w:szCs w:val="24"/>
        </w:rPr>
      </w:pPr>
      <w:r>
        <w:t>充分发挥融媒体平台的重要作用，依托微信公众号搭建起官方权威平台。2024年，“三门峡市政府国资委”微信公众号共发布600余篇内容，年度分享转发次数达2千次，阅读总量高达6万次，为公众获取国资国企信息提供了便捷高效的渠道，进一步提升了信息公开的覆盖面和影响力。</w:t>
      </w:r>
    </w:p>
    <w:p>
      <w:pPr>
        <w:widowControl/>
        <w:shd w:val="clear" w:color="auto" w:fill="FFFFFF"/>
        <w:ind w:firstLine="480"/>
        <w:rPr>
          <w:rFonts w:ascii="宋体" w:hAnsi="宋体" w:eastAsia="宋体" w:cs="宋体"/>
          <w:color w:val="333333"/>
          <w:kern w:val="0"/>
          <w:sz w:val="24"/>
          <w:szCs w:val="24"/>
        </w:rPr>
      </w:pPr>
      <w:r>
        <w:t>（五）监督保障：</w:t>
      </w:r>
    </w:p>
    <w:p>
      <w:pPr>
        <w:widowControl/>
        <w:shd w:val="clear" w:color="auto" w:fill="FFFFFF"/>
        <w:ind w:firstLine="480"/>
        <w:rPr>
          <w:rFonts w:ascii="宋体" w:hAnsi="宋体" w:eastAsia="宋体" w:cs="宋体"/>
          <w:color w:val="333333"/>
          <w:kern w:val="0"/>
          <w:sz w:val="24"/>
          <w:szCs w:val="24"/>
        </w:rPr>
      </w:pPr>
      <w:r>
        <w:t>提升互动服务效能。强化互动和服务功能，积极受理并回复12345政务服务便民热线事项，通过优化工作流程和协调各方资源，进一步提高了处理问题的效率和质量，切实增强了公众的满意度和获得感。</w:t>
      </w:r>
    </w:p>
    <w:p>
      <w:pPr>
        <w:widowControl/>
        <w:shd w:val="clear" w:color="auto" w:fill="FFFFFF"/>
        <w:ind w:firstLine="480"/>
        <w:rPr>
          <w:rFonts w:ascii="宋体" w:hAnsi="宋体" w:eastAsia="宋体" w:cs="宋体"/>
          <w:color w:val="333333"/>
          <w:kern w:val="0"/>
          <w:sz w:val="24"/>
          <w:szCs w:val="24"/>
        </w:rPr>
      </w:pPr>
      <w:r>
        <w:t>加强工作组织保障。指定专人负责政务公开工作，积极组织人员参加政务公开相关培训，加强日常指导和流程监督，严格把关公开程序，确保公开程序依法合规。</w:t>
      </w:r>
    </w:p>
    <w:p>
      <w:pPr>
        <w:widowControl/>
        <w:shd w:val="clear" w:color="auto" w:fill="FFFFFF"/>
        <w:ind w:firstLine="480"/>
        <w:rPr>
          <w:rFonts w:ascii="宋体" w:hAnsi="宋体" w:eastAsia="宋体" w:cs="宋体"/>
          <w:color w:val="333333"/>
          <w:kern w:val="0"/>
          <w:sz w:val="24"/>
          <w:szCs w:val="24"/>
        </w:rPr>
      </w:pPr>
    </w:p>
    <w:p>
      <w:pPr>
        <w:pageBreakBefore/>
        <w:widowControl/>
        <w:shd w:val="clear" w:color="auto" w:fill="FFFFFF"/>
        <w:ind w:firstLine="480"/>
        <w:rPr>
          <w:rFonts w:ascii="宋体" w:hAnsi="宋体" w:eastAsia="宋体" w:cs="宋体"/>
          <w:color w:val="333333"/>
          <w:kern w:val="0"/>
          <w:sz w:val="24"/>
          <w:szCs w:val="24"/>
        </w:rPr>
      </w:pPr>
      <w:r>
        <w:rPr>
          <w:rFonts w:ascii="宋体" w:hAnsi="宋体" w:cs="宋体"/>
          <w:b/>
          <w:bCs/>
          <w:color w:val="333333"/>
          <w:kern w:val="0"/>
          <w:sz w:val="24"/>
          <w:szCs w:val="24"/>
        </w:rPr>
        <w:t>二、主动公开政府信息情况</w:t>
      </w:r>
    </w:p>
    <w:p>
      <w:pPr>
        <w:widowControl/>
        <w:shd w:val="clear" w:color="auto" w:fill="FFFFFF"/>
        <w:ind w:firstLine="480"/>
        <w:rPr>
          <w:rFonts w:ascii="宋体" w:hAnsi="宋体" w:eastAsia="宋体" w:cs="宋体"/>
          <w:color w:val="333333"/>
          <w:kern w:val="0"/>
          <w:sz w:val="24"/>
          <w:szCs w:val="24"/>
        </w:rPr>
      </w:pPr>
    </w:p>
    <w:tbl>
      <w:tblPr>
        <w:tblStyle w:val="6"/>
        <w:tblW w:w="9740" w:type="dxa"/>
        <w:jc w:val="center"/>
        <w:tblLayout w:type="fixed"/>
        <w:tblCellMar>
          <w:top w:w="0" w:type="dxa"/>
          <w:left w:w="57" w:type="dxa"/>
          <w:bottom w:w="0" w:type="dxa"/>
          <w:right w:w="57" w:type="dxa"/>
        </w:tblCellMar>
      </w:tblPr>
      <w:tblGrid>
        <w:gridCol w:w="2436"/>
        <w:gridCol w:w="2435"/>
        <w:gridCol w:w="2435"/>
        <w:gridCol w:w="2434"/>
      </w:tblGrid>
      <w:tr>
        <w:tblPrEx>
          <w:tblCellMar>
            <w:top w:w="0" w:type="dxa"/>
            <w:left w:w="57" w:type="dxa"/>
            <w:bottom w:w="0" w:type="dxa"/>
            <w:right w:w="57" w:type="dxa"/>
          </w:tblCellMar>
        </w:tblPrEx>
        <w:trPr>
          <w:trHeight w:val="340" w:hRule="atLeast"/>
          <w:jc w:val="center"/>
        </w:trPr>
        <w:tc>
          <w:tcPr>
            <w:tcW w:w="9739" w:type="dxa"/>
            <w:gridSpan w:val="4"/>
            <w:tcBorders>
              <w:top w:val="single" w:color="000000" w:sz="8" w:space="0"/>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第二十条第（一）项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w:t>
            </w:r>
            <w:r>
              <w:rPr>
                <w:rFonts w:ascii="宋体" w:hAnsi="宋体" w:cs="Calibri"/>
                <w:kern w:val="0"/>
                <w:sz w:val="20"/>
                <w:szCs w:val="20"/>
              </w:rPr>
              <w:t>制</w:t>
            </w:r>
            <w:r>
              <w:rPr>
                <w:rFonts w:ascii="宋体" w:hAnsi="宋体" w:cs="宋体"/>
                <w:kern w:val="0"/>
                <w:sz w:val="20"/>
                <w:szCs w:val="20"/>
              </w:rPr>
              <w:t>发件</w:t>
            </w:r>
            <w:r>
              <w:rPr>
                <w:rFonts w:ascii="宋体" w:hAnsi="宋体" w:cs="Calibri"/>
                <w:kern w:val="0"/>
                <w:sz w:val="20"/>
                <w:szCs w:val="20"/>
              </w:rPr>
              <w:t>数</w:t>
            </w:r>
          </w:p>
        </w:tc>
        <w:tc>
          <w:tcPr>
            <w:tcW w:w="2435"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本年废止件数</w:t>
            </w:r>
          </w:p>
        </w:tc>
        <w:tc>
          <w:tcPr>
            <w:tcW w:w="2434" w:type="dxa"/>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现行有效件</w:t>
            </w:r>
            <w:r>
              <w:rPr>
                <w:rFonts w:ascii="宋体" w:hAnsi="宋体" w:cs="Calibri"/>
                <w:kern w:val="0"/>
                <w:sz w:val="20"/>
                <w:szCs w:val="20"/>
              </w:rPr>
              <w:t>数</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规章</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行政规范性文件</w:t>
            </w:r>
          </w:p>
        </w:tc>
        <w:tc>
          <w:tcPr>
            <w:tcW w:w="2435" w:type="dxa"/>
            <w:tcBorders>
              <w:bottom w:val="single" w:color="000000" w:sz="8" w:space="0"/>
              <w:right w:val="single" w:color="000000" w:sz="8" w:space="0"/>
            </w:tcBorders>
            <w:vAlign w:val="center"/>
          </w:tcPr>
          <w:p>
            <w:r>
              <w:t>0</w:t>
            </w:r>
          </w:p>
        </w:tc>
        <w:tc>
          <w:tcPr>
            <w:tcW w:w="2435" w:type="dxa"/>
            <w:tcBorders>
              <w:bottom w:val="single" w:color="000000" w:sz="8" w:space="0"/>
              <w:right w:val="single" w:color="000000" w:sz="8" w:space="0"/>
            </w:tcBorders>
            <w:vAlign w:val="center"/>
          </w:tcPr>
          <w:p>
            <w:r>
              <w:t>0</w:t>
            </w:r>
          </w:p>
        </w:tc>
        <w:tc>
          <w:tcPr>
            <w:tcW w:w="2434" w:type="dxa"/>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第二十条第（五）项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行政许可</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第二十条第（六）项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top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本年处理决定数量</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行政处罚</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行政强制</w:t>
            </w:r>
          </w:p>
        </w:tc>
        <w:tc>
          <w:tcPr>
            <w:tcW w:w="7304" w:type="dxa"/>
            <w:gridSpan w:val="3"/>
            <w:tcBorders>
              <w:bottom w:val="single" w:color="000000" w:sz="8" w:space="0"/>
              <w:right w:val="single" w:color="000000" w:sz="8" w:space="0"/>
            </w:tcBorders>
            <w:vAlign w:val="center"/>
          </w:tcPr>
          <w:p>
            <w:r>
              <w:t>0</w:t>
            </w:r>
          </w:p>
        </w:tc>
      </w:tr>
      <w:tr>
        <w:tblPrEx>
          <w:tblCellMar>
            <w:top w:w="0" w:type="dxa"/>
            <w:left w:w="57" w:type="dxa"/>
            <w:bottom w:w="0" w:type="dxa"/>
            <w:right w:w="57" w:type="dxa"/>
          </w:tblCellMar>
        </w:tblPrEx>
        <w:trPr>
          <w:trHeight w:val="340" w:hRule="atLeast"/>
          <w:jc w:val="center"/>
        </w:trPr>
        <w:tc>
          <w:tcPr>
            <w:tcW w:w="9739" w:type="dxa"/>
            <w:gridSpan w:val="4"/>
            <w:tcBorders>
              <w:left w:val="single" w:color="000000" w:sz="8" w:space="0"/>
              <w:bottom w:val="single" w:color="000000" w:sz="8" w:space="0"/>
              <w:right w:val="single" w:color="000000" w:sz="8" w:space="0"/>
            </w:tcBorders>
            <w:shd w:val="clear" w:color="auto" w:fill="C6D9F1"/>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第二十条第（八）项</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信息内容</w:t>
            </w:r>
          </w:p>
        </w:tc>
        <w:tc>
          <w:tcPr>
            <w:tcW w:w="7304" w:type="dxa"/>
            <w:gridSpan w:val="3"/>
            <w:tcBorders>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本年收费金额（单位：万元）</w:t>
            </w:r>
          </w:p>
        </w:tc>
      </w:tr>
      <w:tr>
        <w:tblPrEx>
          <w:tblCellMar>
            <w:top w:w="0" w:type="dxa"/>
            <w:left w:w="57" w:type="dxa"/>
            <w:bottom w:w="0" w:type="dxa"/>
            <w:right w:w="57" w:type="dxa"/>
          </w:tblCellMar>
        </w:tblPrEx>
        <w:trPr>
          <w:trHeight w:val="340" w:hRule="atLeast"/>
          <w:jc w:val="center"/>
        </w:trPr>
        <w:tc>
          <w:tcPr>
            <w:tcW w:w="2435" w:type="dxa"/>
            <w:tcBorders>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rPr>
            </w:pPr>
            <w:r>
              <w:rPr>
                <w:rFonts w:ascii="宋体" w:hAnsi="宋体" w:cs="宋体"/>
                <w:color w:val="000000"/>
                <w:kern w:val="0"/>
                <w:sz w:val="20"/>
                <w:szCs w:val="20"/>
              </w:rPr>
              <w:t>行政事业性收费</w:t>
            </w:r>
          </w:p>
        </w:tc>
        <w:tc>
          <w:tcPr>
            <w:tcW w:w="7304" w:type="dxa"/>
            <w:gridSpan w:val="3"/>
            <w:tcBorders>
              <w:bottom w:val="single" w:color="000000" w:sz="8" w:space="0"/>
              <w:right w:val="single" w:color="000000" w:sz="8" w:space="0"/>
            </w:tcBorders>
            <w:vAlign w:val="cente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三、收到和处理政府信息公开申请情况</w:t>
      </w:r>
    </w:p>
    <w:p>
      <w:pPr>
        <w:widowControl/>
        <w:shd w:val="clear" w:color="auto" w:fill="FFFFFF"/>
        <w:rPr>
          <w:rFonts w:ascii="宋体" w:hAnsi="宋体" w:eastAsia="宋体" w:cs="宋体"/>
          <w:color w:val="333333"/>
          <w:kern w:val="0"/>
          <w:sz w:val="24"/>
          <w:szCs w:val="24"/>
        </w:rPr>
      </w:pPr>
    </w:p>
    <w:tbl>
      <w:tblPr>
        <w:tblStyle w:val="6"/>
        <w:tblW w:w="974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70"/>
        <w:gridCol w:w="942"/>
        <w:gridCol w:w="3220"/>
        <w:gridCol w:w="688"/>
        <w:gridCol w:w="688"/>
        <w:gridCol w:w="689"/>
        <w:gridCol w:w="688"/>
        <w:gridCol w:w="687"/>
        <w:gridCol w:w="688"/>
        <w:gridCol w:w="6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restart"/>
            <w:tcBorders>
              <w:right w:val="single" w:color="000000" w:sz="8" w:space="0"/>
            </w:tcBorders>
            <w:vAlign w:val="center"/>
          </w:tcPr>
          <w:p>
            <w:pPr>
              <w:widowControl/>
              <w:jc w:val="left"/>
              <w:rPr>
                <w:rFonts w:ascii="宋体" w:hAnsi="宋体" w:eastAsia="宋体" w:cs="宋体"/>
                <w:kern w:val="0"/>
                <w:sz w:val="24"/>
                <w:szCs w:val="24"/>
              </w:rPr>
            </w:pPr>
            <w:r>
              <w:rPr>
                <w:rFonts w:ascii="楷体" w:hAnsi="楷体" w:eastAsia="楷体" w:cs="宋体"/>
                <w:kern w:val="0"/>
                <w:sz w:val="20"/>
                <w:szCs w:val="20"/>
              </w:rPr>
              <w:t>（本列数据的勾稽关系为：第一项加第二项之和，等于第三项加第四项之和）</w:t>
            </w:r>
          </w:p>
        </w:tc>
        <w:tc>
          <w:tcPr>
            <w:tcW w:w="4816" w:type="dxa"/>
            <w:gridSpan w:val="7"/>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restart"/>
            <w:tcBorders>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自然人</w:t>
            </w:r>
          </w:p>
        </w:tc>
        <w:tc>
          <w:tcPr>
            <w:tcW w:w="3440" w:type="dxa"/>
            <w:gridSpan w:val="5"/>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法人或其他组织</w:t>
            </w:r>
          </w:p>
        </w:tc>
        <w:tc>
          <w:tcPr>
            <w:tcW w:w="688" w:type="dxa"/>
            <w:vMerge w:val="restart"/>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vMerge w:val="continue"/>
            <w:tcMar>
              <w:left w:w="10" w:type="dxa"/>
              <w:right w:w="10" w:type="dxa"/>
            </w:tcMar>
            <w:vAlign w:val="center"/>
          </w:tcPr>
          <w:p>
            <w:pPr>
              <w:widowControl/>
              <w:jc w:val="left"/>
              <w:rPr>
                <w:rFonts w:ascii="宋体" w:hAnsi="宋体" w:eastAsia="宋体" w:cs="宋体"/>
                <w:kern w:val="0"/>
                <w:sz w:val="24"/>
                <w:szCs w:val="24"/>
              </w:rPr>
            </w:pPr>
          </w:p>
        </w:tc>
        <w:tc>
          <w:tcPr>
            <w:tcW w:w="688" w:type="dxa"/>
            <w:vMerge w:val="continue"/>
            <w:tcBorders>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商业</w:t>
            </w:r>
          </w:p>
          <w:p>
            <w:pPr>
              <w:widowControl/>
              <w:jc w:val="center"/>
              <w:rPr>
                <w:rFonts w:ascii="宋体" w:hAnsi="宋体" w:eastAsia="宋体" w:cs="宋体"/>
                <w:kern w:val="0"/>
                <w:sz w:val="24"/>
                <w:szCs w:val="24"/>
              </w:rPr>
            </w:pPr>
            <w:r>
              <w:rPr>
                <w:rFonts w:ascii="宋体" w:hAnsi="宋体" w:cs="宋体"/>
                <w:kern w:val="0"/>
                <w:sz w:val="20"/>
                <w:szCs w:val="20"/>
              </w:rPr>
              <w:t>企业</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科研</w:t>
            </w:r>
          </w:p>
          <w:p>
            <w:pPr>
              <w:widowControl/>
              <w:jc w:val="center"/>
              <w:rPr>
                <w:rFonts w:ascii="宋体" w:hAnsi="宋体" w:eastAsia="宋体" w:cs="宋体"/>
                <w:kern w:val="0"/>
                <w:sz w:val="24"/>
                <w:szCs w:val="24"/>
              </w:rPr>
            </w:pPr>
            <w:r>
              <w:rPr>
                <w:rFonts w:ascii="宋体" w:hAnsi="宋体" w:cs="宋体"/>
                <w:kern w:val="0"/>
                <w:sz w:val="20"/>
                <w:szCs w:val="20"/>
              </w:rPr>
              <w:t>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社会公益组织</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法律服务机构</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p>
        </w:tc>
        <w:tc>
          <w:tcPr>
            <w:tcW w:w="688"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一、本年新收政府信息公开申请数量</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二、上年结转政府信息公开申请数量</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三、本年度办理结果</w:t>
            </w: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（一）予以公开</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（二）部分公开</w:t>
            </w:r>
            <w:r>
              <w:rPr>
                <w:rFonts w:ascii="楷体" w:hAnsi="楷体" w:eastAsia="楷体" w:cs="宋体"/>
                <w:kern w:val="0"/>
                <w:sz w:val="20"/>
                <w:szCs w:val="20"/>
              </w:rPr>
              <w:t>（区分处理的，只计这一情形，不计其他情形）</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（三）不予公开</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属于国家秘密</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其他法律行政法规禁止公开</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危及“三安全一稳定”</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保护第三方合法权益</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属于三类内部事务信息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6.</w:t>
            </w:r>
            <w:r>
              <w:rPr>
                <w:rFonts w:ascii="宋体" w:hAnsi="宋体" w:cs="宋体"/>
                <w:kern w:val="0"/>
                <w:sz w:val="20"/>
                <w:szCs w:val="20"/>
              </w:rPr>
              <w:t>属于四类过程性信息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7.</w:t>
            </w:r>
            <w:r>
              <w:rPr>
                <w:rFonts w:ascii="宋体" w:hAnsi="宋体" w:cs="宋体"/>
                <w:kern w:val="0"/>
                <w:sz w:val="20"/>
                <w:szCs w:val="20"/>
              </w:rPr>
              <w:t>属于行政执法案卷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8.</w:t>
            </w:r>
            <w:r>
              <w:rPr>
                <w:rFonts w:ascii="宋体" w:hAnsi="宋体" w:cs="宋体"/>
                <w:kern w:val="0"/>
                <w:sz w:val="20"/>
                <w:szCs w:val="20"/>
              </w:rPr>
              <w:t>属于行政查询事项</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（四）无法提供</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本机关不掌握相关政府信息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没有现成信息需要另行制作</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补正后申请内容仍不明确</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（五）不予处理</w:t>
            </w: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信访举报投诉类申请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要求提供公开出版物</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tcPr>
          <w:p>
            <w:pPr>
              <w:widowControl/>
              <w:jc w:val="left"/>
              <w:rPr>
                <w:rFonts w:ascii="宋体" w:hAnsi="宋体" w:eastAsia="宋体" w:cs="宋体"/>
                <w:kern w:val="0"/>
                <w:sz w:val="24"/>
                <w:szCs w:val="24"/>
              </w:rPr>
            </w:pPr>
            <w:r>
              <w:rPr>
                <w:rFonts w:ascii="宋体" w:hAnsi="宋体" w:eastAsia="宋体" w:cs="宋体"/>
                <w:kern w:val="0"/>
                <w:sz w:val="20"/>
                <w:szCs w:val="20"/>
              </w:rPr>
              <w:t>4.</w:t>
            </w:r>
            <w:r>
              <w:rPr>
                <w:rFonts w:ascii="宋体" w:hAnsi="宋体" w:cs="宋体"/>
                <w:kern w:val="0"/>
                <w:sz w:val="20"/>
                <w:szCs w:val="20"/>
              </w:rPr>
              <w:t>无正当理由大量反复申请</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79" w:hRule="atLeast"/>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5.</w:t>
            </w:r>
            <w:r>
              <w:rPr>
                <w:rFonts w:ascii="宋体" w:hAnsi="宋体" w:cs="宋体"/>
                <w:kern w:val="0"/>
                <w:sz w:val="20"/>
                <w:szCs w:val="20"/>
              </w:rPr>
              <w:t>要求行政机关确认或重新出具已获取信息</w:t>
            </w:r>
          </w:p>
        </w:tc>
        <w:tc>
          <w:tcPr>
            <w:tcW w:w="688" w:type="dxa"/>
            <w:tcBorders>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restart"/>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（六）其他处理</w:t>
            </w: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1.</w:t>
            </w:r>
            <w:r>
              <w:rPr>
                <w:rFonts w:ascii="宋体" w:hAnsi="宋体" w:cs="宋体"/>
                <w:kern w:val="0"/>
                <w:sz w:val="20"/>
                <w:szCs w:val="20"/>
              </w:rPr>
              <w:t>申请人无正当理由逾期不补正、行政机关不再处理其政府信息公开申请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rPr>
                <w:rFonts w:ascii="宋体" w:hAnsi="宋体" w:eastAsia="宋体" w:cs="宋体"/>
                <w:kern w:val="0"/>
                <w:sz w:val="24"/>
                <w:szCs w:val="24"/>
              </w:rPr>
            </w:pPr>
            <w:r>
              <w:rPr>
                <w:rFonts w:ascii="宋体" w:hAnsi="宋体" w:eastAsia="宋体" w:cs="宋体"/>
                <w:kern w:val="0"/>
                <w:sz w:val="20"/>
                <w:szCs w:val="20"/>
              </w:rPr>
              <w:t>2.</w:t>
            </w:r>
            <w:r>
              <w:rPr>
                <w:rFonts w:ascii="宋体" w:hAnsi="宋体" w:cs="宋体"/>
                <w:kern w:val="0"/>
                <w:sz w:val="20"/>
                <w:szCs w:val="20"/>
              </w:rPr>
              <w:t>申请人逾期未按收费通知要求缴纳费用、行政机关不再处理其政府信息公开申请</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942"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3220" w:type="dxa"/>
            <w:tcMar>
              <w:left w:w="57" w:type="dxa"/>
              <w:right w:w="57" w:type="dxa"/>
            </w:tcMar>
            <w:vAlign w:val="center"/>
          </w:tcPr>
          <w:p>
            <w:pPr>
              <w:widowControl/>
              <w:jc w:val="left"/>
              <w:rPr>
                <w:rFonts w:ascii="宋体" w:hAnsi="宋体" w:eastAsia="宋体" w:cs="宋体"/>
                <w:kern w:val="0"/>
                <w:sz w:val="24"/>
                <w:szCs w:val="24"/>
              </w:rPr>
            </w:pPr>
            <w:r>
              <w:rPr>
                <w:rFonts w:ascii="宋体" w:hAnsi="宋体" w:eastAsia="宋体" w:cs="宋体"/>
                <w:kern w:val="0"/>
                <w:sz w:val="20"/>
                <w:szCs w:val="20"/>
              </w:rPr>
              <w:t>3.</w:t>
            </w:r>
            <w:r>
              <w:rPr>
                <w:rFonts w:ascii="宋体" w:hAnsi="宋体" w:cs="宋体"/>
                <w:kern w:val="0"/>
                <w:sz w:val="20"/>
                <w:szCs w:val="20"/>
              </w:rPr>
              <w:t>其他</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769" w:type="dxa"/>
            <w:vMerge w:val="continue"/>
            <w:tcMar>
              <w:left w:w="10" w:type="dxa"/>
              <w:right w:w="10" w:type="dxa"/>
            </w:tcMar>
            <w:vAlign w:val="center"/>
          </w:tcPr>
          <w:p>
            <w:pPr>
              <w:widowControl/>
              <w:jc w:val="left"/>
              <w:rPr>
                <w:rFonts w:ascii="宋体" w:hAnsi="宋体" w:eastAsia="宋体" w:cs="宋体"/>
                <w:kern w:val="0"/>
                <w:sz w:val="24"/>
                <w:szCs w:val="24"/>
              </w:rPr>
            </w:pPr>
          </w:p>
        </w:tc>
        <w:tc>
          <w:tcPr>
            <w:tcW w:w="4162" w:type="dxa"/>
            <w:gridSpan w:val="2"/>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（七）总计</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4931" w:type="dxa"/>
            <w:gridSpan w:val="3"/>
            <w:tcMar>
              <w:left w:w="57" w:type="dxa"/>
              <w:right w:w="57" w:type="dxa"/>
            </w:tcMar>
            <w:vAlign w:val="center"/>
          </w:tcPr>
          <w:p>
            <w:pPr>
              <w:widowControl/>
              <w:jc w:val="left"/>
              <w:rPr>
                <w:rFonts w:ascii="宋体" w:hAnsi="宋体" w:eastAsia="宋体" w:cs="宋体"/>
                <w:kern w:val="0"/>
                <w:sz w:val="24"/>
                <w:szCs w:val="24"/>
              </w:rPr>
            </w:pPr>
            <w:r>
              <w:rPr>
                <w:rFonts w:ascii="宋体" w:hAnsi="宋体" w:cs="宋体"/>
                <w:kern w:val="0"/>
                <w:sz w:val="20"/>
                <w:szCs w:val="20"/>
              </w:rPr>
              <w:t>四、结转下年度继续办理</w:t>
            </w:r>
          </w:p>
        </w:tc>
        <w:tc>
          <w:tcPr>
            <w:tcW w:w="688" w:type="dxa"/>
            <w:tcBorders>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9"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7"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vAlign w:val="center"/>
          </w:tcPr>
          <w:p>
            <w:r>
              <w:t>0</w:t>
            </w:r>
          </w:p>
        </w:tc>
        <w:tc>
          <w:tcPr>
            <w:tcW w:w="688" w:type="dxa"/>
            <w:tcBorders>
              <w:top w:val="single" w:color="000000" w:sz="8" w:space="0"/>
              <w:left w:val="single" w:color="000000" w:sz="8" w:space="0"/>
              <w:bottom w:val="single" w:color="000000" w:sz="8" w:space="0"/>
              <w:right w:val="single" w:color="000000" w:sz="8" w:space="0"/>
            </w:tcBorders>
            <w:tcMar>
              <w:left w:w="57" w:type="dxa"/>
              <w:right w:w="57" w:type="dxa"/>
            </w:tcMar>
          </w:tcPr>
          <w:p>
            <w:r>
              <w:t>0</w:t>
            </w:r>
          </w:p>
        </w:tc>
      </w:tr>
    </w:tbl>
    <w:p>
      <w:pPr>
        <w:widowControl/>
        <w:ind w:firstLine="482"/>
        <w:jc w:val="left"/>
        <w:rPr>
          <w:rFonts w:ascii="宋体" w:hAnsi="宋体" w:eastAsia="宋体" w:cs="宋体"/>
          <w:b/>
          <w:bCs/>
          <w:color w:val="333333"/>
          <w:kern w:val="0"/>
          <w:sz w:val="24"/>
          <w:szCs w:val="24"/>
        </w:rPr>
      </w:pPr>
      <w:r>
        <w:br w:type="page"/>
      </w:r>
      <w:r>
        <w:rPr>
          <w:rFonts w:ascii="宋体" w:hAnsi="宋体" w:cs="宋体"/>
          <w:b/>
          <w:bCs/>
          <w:color w:val="333333"/>
          <w:kern w:val="0"/>
          <w:sz w:val="24"/>
          <w:szCs w:val="24"/>
        </w:rPr>
        <w:t>四、政府信息公开行政复议、行政诉讼情况</w:t>
      </w:r>
    </w:p>
    <w:p>
      <w:pPr>
        <w:widowControl/>
        <w:shd w:val="clear" w:color="auto" w:fill="FFFFFF"/>
        <w:ind w:firstLine="480"/>
        <w:rPr>
          <w:rFonts w:ascii="宋体" w:hAnsi="宋体" w:eastAsia="宋体" w:cs="宋体"/>
          <w:b/>
          <w:bCs/>
          <w:color w:val="333333"/>
          <w:kern w:val="0"/>
          <w:sz w:val="24"/>
          <w:szCs w:val="24"/>
        </w:rPr>
      </w:pPr>
    </w:p>
    <w:tbl>
      <w:tblPr>
        <w:tblStyle w:val="6"/>
        <w:tblW w:w="9748" w:type="dxa"/>
        <w:jc w:val="center"/>
        <w:tblLayout w:type="fixed"/>
        <w:tblCellMar>
          <w:top w:w="0" w:type="dxa"/>
          <w:left w:w="108" w:type="dxa"/>
          <w:bottom w:w="0" w:type="dxa"/>
          <w:right w:w="108" w:type="dxa"/>
        </w:tblCellMar>
      </w:tblPr>
      <w:tblGrid>
        <w:gridCol w:w="650"/>
        <w:gridCol w:w="650"/>
        <w:gridCol w:w="649"/>
        <w:gridCol w:w="650"/>
        <w:gridCol w:w="650"/>
        <w:gridCol w:w="650"/>
        <w:gridCol w:w="650"/>
        <w:gridCol w:w="649"/>
        <w:gridCol w:w="650"/>
        <w:gridCol w:w="650"/>
        <w:gridCol w:w="650"/>
        <w:gridCol w:w="650"/>
        <w:gridCol w:w="650"/>
        <w:gridCol w:w="650"/>
        <w:gridCol w:w="650"/>
      </w:tblGrid>
      <w:tr>
        <w:tblPrEx>
          <w:tblCellMar>
            <w:top w:w="0" w:type="dxa"/>
            <w:left w:w="108" w:type="dxa"/>
            <w:bottom w:w="0" w:type="dxa"/>
            <w:right w:w="108" w:type="dxa"/>
          </w:tblCellMar>
        </w:tblPrEx>
        <w:trPr>
          <w:jc w:val="center"/>
        </w:trPr>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行政复议</w:t>
            </w:r>
          </w:p>
        </w:tc>
        <w:tc>
          <w:tcPr>
            <w:tcW w:w="6499" w:type="dxa"/>
            <w:gridSpan w:val="10"/>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行政诉讼</w:t>
            </w:r>
          </w:p>
        </w:tc>
      </w:tr>
      <w:tr>
        <w:tblPrEx>
          <w:tblCellMar>
            <w:top w:w="0" w:type="dxa"/>
            <w:left w:w="108" w:type="dxa"/>
            <w:bottom w:w="0" w:type="dxa"/>
            <w:right w:w="108" w:type="dxa"/>
          </w:tblCellMar>
        </w:tblPrEx>
        <w:trPr>
          <w:jc w:val="center"/>
        </w:trPr>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结果维持</w:t>
            </w:r>
          </w:p>
        </w:tc>
        <w:tc>
          <w:tcPr>
            <w:tcW w:w="650" w:type="dxa"/>
            <w:vMerge w:val="restart"/>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总计</w:t>
            </w:r>
          </w:p>
        </w:tc>
        <w:tc>
          <w:tcPr>
            <w:tcW w:w="3249"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未经复议直接起诉</w:t>
            </w:r>
          </w:p>
        </w:tc>
        <w:tc>
          <w:tcPr>
            <w:tcW w:w="3250" w:type="dxa"/>
            <w:gridSpan w:val="5"/>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复议后起诉</w:t>
            </w:r>
          </w:p>
        </w:tc>
      </w:tr>
      <w:tr>
        <w:tblPrEx>
          <w:tblCellMar>
            <w:top w:w="0" w:type="dxa"/>
            <w:left w:w="108" w:type="dxa"/>
            <w:bottom w:w="0" w:type="dxa"/>
            <w:right w:w="108" w:type="dxa"/>
          </w:tblCellMar>
        </w:tblPrEx>
        <w:trPr>
          <w:jc w:val="center"/>
        </w:trPr>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49"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vMerge w:val="continue"/>
            <w:tcBorders>
              <w:top w:val="single" w:color="000000" w:sz="8" w:space="0"/>
              <w:left w:val="single" w:color="000000" w:sz="8" w:space="0"/>
              <w:bottom w:val="single" w:color="000000" w:sz="8" w:space="0"/>
              <w:right w:val="single" w:color="000000" w:sz="8" w:space="0"/>
            </w:tcBorders>
            <w:tcMar>
              <w:left w:w="10" w:type="dxa"/>
              <w:right w:w="10" w:type="dxa"/>
            </w:tcMar>
            <w:vAlign w:val="center"/>
          </w:tcPr>
          <w:p>
            <w:pPr>
              <w:widowControl/>
              <w:jc w:val="left"/>
              <w:rPr>
                <w:rFonts w:ascii="宋体" w:hAnsi="宋体" w:eastAsia="宋体" w:cs="宋体"/>
                <w:kern w:val="0"/>
                <w:sz w:val="24"/>
                <w:szCs w:val="24"/>
              </w:rPr>
            </w:pP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49"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其他</w:t>
            </w:r>
            <w:r>
              <w:rPr>
                <w:rFonts w:ascii="宋体" w:hAnsi="宋体" w:eastAsia="宋体" w:cs="宋体"/>
                <w:kern w:val="0"/>
                <w:sz w:val="20"/>
                <w:szCs w:val="20"/>
              </w:rPr>
              <w:br w:type="textWrapping"/>
            </w:r>
            <w:r>
              <w:rPr>
                <w:rFonts w:ascii="宋体" w:hAnsi="宋体" w:cs="宋体"/>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维持</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结果</w:t>
            </w:r>
            <w:r>
              <w:rPr>
                <w:rFonts w:ascii="宋体" w:hAnsi="宋体" w:eastAsia="宋体" w:cs="宋体"/>
                <w:kern w:val="0"/>
                <w:sz w:val="20"/>
                <w:szCs w:val="20"/>
              </w:rPr>
              <w:br w:type="textWrapping"/>
            </w:r>
            <w:r>
              <w:rPr>
                <w:rFonts w:ascii="宋体" w:hAnsi="宋体" w:cs="宋体"/>
                <w:kern w:val="0"/>
                <w:sz w:val="20"/>
                <w:szCs w:val="20"/>
              </w:rPr>
              <w:t>纠正</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其他</w:t>
            </w:r>
            <w:r>
              <w:rPr>
                <w:rFonts w:ascii="宋体" w:hAnsi="宋体" w:eastAsia="宋体" w:cs="宋体"/>
                <w:color w:val="000000"/>
                <w:kern w:val="0"/>
                <w:sz w:val="20"/>
                <w:szCs w:val="20"/>
              </w:rPr>
              <w:br w:type="textWrapping"/>
            </w:r>
            <w:r>
              <w:rPr>
                <w:rFonts w:ascii="宋体" w:hAnsi="宋体" w:cs="宋体"/>
                <w:color w:val="000000"/>
                <w:kern w:val="0"/>
                <w:sz w:val="20"/>
                <w:szCs w:val="20"/>
              </w:rPr>
              <w:t>结果</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kern w:val="0"/>
                <w:sz w:val="20"/>
                <w:szCs w:val="20"/>
              </w:rPr>
              <w:t>尚未</w:t>
            </w:r>
            <w:r>
              <w:rPr>
                <w:rFonts w:ascii="宋体" w:hAnsi="宋体" w:eastAsia="宋体" w:cs="宋体"/>
                <w:kern w:val="0"/>
                <w:sz w:val="20"/>
                <w:szCs w:val="20"/>
              </w:rPr>
              <w:br w:type="textWrapping"/>
            </w:r>
            <w:r>
              <w:rPr>
                <w:rFonts w:ascii="宋体" w:hAnsi="宋体" w:cs="宋体"/>
                <w:kern w:val="0"/>
                <w:sz w:val="20"/>
                <w:szCs w:val="20"/>
              </w:rPr>
              <w:t>审结</w:t>
            </w:r>
          </w:p>
        </w:tc>
        <w:tc>
          <w:tcPr>
            <w:tcW w:w="65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eastAsia="宋体" w:cs="宋体"/>
                <w:kern w:val="0"/>
                <w:sz w:val="24"/>
                <w:szCs w:val="24"/>
              </w:rPr>
            </w:pPr>
            <w:r>
              <w:rPr>
                <w:rFonts w:ascii="宋体" w:hAnsi="宋体" w:cs="宋体"/>
                <w:color w:val="000000"/>
                <w:kern w:val="0"/>
                <w:sz w:val="20"/>
                <w:szCs w:val="20"/>
              </w:rPr>
              <w:t>总计</w:t>
            </w:r>
          </w:p>
        </w:tc>
      </w:tr>
      <w:tr>
        <w:tblPrEx>
          <w:tblCellMar>
            <w:top w:w="0" w:type="dxa"/>
            <w:left w:w="108" w:type="dxa"/>
            <w:bottom w:w="0" w:type="dxa"/>
            <w:right w:w="108" w:type="dxa"/>
          </w:tblCellMar>
        </w:tblPrEx>
        <w:trPr>
          <w:trHeight w:val="672" w:hRule="atLeast"/>
          <w:jc w:val="center"/>
        </w:trPr>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49"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c>
          <w:tcPr>
            <w:tcW w:w="650" w:type="dxa"/>
            <w:tcBorders>
              <w:left w:val="single" w:color="000000" w:sz="8" w:space="0"/>
              <w:bottom w:val="single" w:color="000000" w:sz="8" w:space="0"/>
              <w:right w:val="single" w:color="000000" w:sz="8" w:space="0"/>
            </w:tcBorders>
            <w:vAlign w:val="center"/>
          </w:tcPr>
          <w:p>
            <w:r>
              <w:t>0</w:t>
            </w:r>
          </w:p>
        </w:tc>
      </w:tr>
    </w:tbl>
    <w:p>
      <w:pPr>
        <w:widowControl/>
        <w:jc w:val="left"/>
        <w:rPr>
          <w:rFonts w:ascii="宋体" w:hAnsi="宋体" w:eastAsia="宋体" w:cs="宋体"/>
          <w:kern w:val="0"/>
          <w:sz w:val="24"/>
          <w:szCs w:val="24"/>
        </w:rPr>
      </w:pPr>
      <w:r>
        <w:rPr>
          <w:rFonts w:ascii="宋体" w:hAnsi="宋体" w:eastAsia="宋体" w:cs="宋体"/>
          <w:color w:val="333333"/>
          <w:kern w:val="0"/>
          <w:sz w:val="24"/>
          <w:szCs w:val="24"/>
        </w:rPr>
        <w:br w:type="textWrapping"/>
      </w: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五、存在的主要问题及改进情况</w:t>
      </w:r>
    </w:p>
    <w:p>
      <w:pPr>
        <w:widowControl/>
        <w:shd w:val="clear" w:color="auto" w:fill="FFFFFF"/>
        <w:ind w:firstLine="480"/>
        <w:rPr>
          <w:rFonts w:ascii="宋体" w:hAnsi="宋体" w:eastAsia="宋体" w:cs="宋体"/>
          <w:color w:val="333333"/>
          <w:kern w:val="0"/>
          <w:sz w:val="24"/>
          <w:szCs w:val="24"/>
        </w:rPr>
      </w:pPr>
      <w:r>
        <w:t>一是对主动公开信息内容的理解和把握不够，发布的政务信息质量有待提高；二是信息公开的栏目设置需进一步优化；三是政策文件的解读形式局限于文字解读方式。</w:t>
      </w:r>
    </w:p>
    <w:p>
      <w:pPr>
        <w:widowControl/>
        <w:shd w:val="clear" w:color="auto" w:fill="FFFFFF"/>
        <w:ind w:firstLine="480"/>
        <w:rPr>
          <w:rFonts w:ascii="宋体" w:hAnsi="宋体" w:eastAsia="宋体" w:cs="宋体"/>
          <w:color w:val="333333"/>
          <w:kern w:val="0"/>
          <w:sz w:val="24"/>
          <w:szCs w:val="24"/>
        </w:rPr>
      </w:pPr>
      <w:r>
        <w:t>下一步，市政府国资委将认真贯彻落实《中华人民共和国政府信息公开条例》各项规定，切实提高政治站位，深刻认识做好新时代政府信息公开工作的重要意义，坚持问题导向和需求导向，进一步完善工作机制，规范工作流程，注重内容协同联动，规范管理新媒体，加强政策文件解读力度、增强解读效果，扎实推进政务公开工作高质量开展。</w:t>
      </w: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color w:val="333333"/>
          <w:kern w:val="0"/>
          <w:sz w:val="24"/>
          <w:szCs w:val="24"/>
        </w:rPr>
      </w:pPr>
    </w:p>
    <w:p>
      <w:pPr>
        <w:widowControl/>
        <w:shd w:val="clear" w:color="auto" w:fill="FFFFFF"/>
        <w:ind w:firstLine="480"/>
        <w:rPr>
          <w:rFonts w:ascii="宋体" w:hAnsi="宋体" w:eastAsia="宋体" w:cs="宋体"/>
          <w:b/>
          <w:bCs/>
          <w:color w:val="333333"/>
          <w:kern w:val="0"/>
          <w:sz w:val="24"/>
          <w:szCs w:val="24"/>
        </w:rPr>
      </w:pPr>
      <w:r>
        <w:rPr>
          <w:rFonts w:ascii="宋体" w:hAnsi="宋体" w:cs="宋体"/>
          <w:b/>
          <w:bCs/>
          <w:color w:val="333333"/>
          <w:kern w:val="0"/>
          <w:sz w:val="24"/>
          <w:szCs w:val="24"/>
        </w:rPr>
        <w:t>六、其他需要报告的事项</w:t>
      </w:r>
    </w:p>
    <w:p>
      <w:pPr>
        <w:widowControl/>
        <w:shd w:val="clear" w:color="auto" w:fill="FFFFFF"/>
        <w:ind w:firstLine="480"/>
        <w:jc w:val="left"/>
        <w:rPr>
          <w:rFonts w:ascii="宋体" w:hAnsi="宋体" w:eastAsia="宋体" w:cs="宋体"/>
          <w:color w:val="333333"/>
          <w:kern w:val="0"/>
          <w:sz w:val="24"/>
          <w:szCs w:val="24"/>
        </w:rPr>
      </w:pPr>
      <w:r>
        <w:t>市政府国资委严格按照《国务院办公厅关于印发〈政府信息公开信息处理费管理办法〉的通知》（国办函〔2020〕109号）规定的按件、按量收费标准，本年度未产生信息公开处理费。</w:t>
      </w:r>
    </w:p>
    <w:p>
      <w:pPr>
        <w:widowControl/>
        <w:shd w:val="clear" w:color="auto" w:fill="FFFFFF"/>
        <w:ind w:firstLine="480"/>
        <w:jc w:val="left"/>
        <w:rPr>
          <w:rFonts w:ascii="宋体" w:hAnsi="宋体" w:eastAsia="宋体" w:cs="宋体"/>
          <w:color w:val="333333"/>
          <w:kern w:val="0"/>
          <w:sz w:val="24"/>
          <w:szCs w:val="24"/>
        </w:rPr>
      </w:pPr>
      <w:r>
        <w:t>2024年，我委共办理建议提案4件，其中人大建议1件，政协提案3件，对所有标定“能够公开”的建议提案，均在我委微信公众号进行公开，主动接受社会监督。</w:t>
      </w:r>
    </w:p>
    <w:p>
      <w:pPr>
        <w:widowControl/>
        <w:shd w:val="clear" w:color="auto" w:fill="FFFFFF"/>
        <w:ind w:firstLine="480"/>
        <w:jc w:val="left"/>
        <w:rPr>
          <w:rFonts w:ascii="宋体" w:hAnsi="宋体" w:eastAsia="宋体" w:cs="宋体"/>
          <w:color w:val="333333"/>
          <w:kern w:val="0"/>
          <w:sz w:val="24"/>
          <w:szCs w:val="24"/>
        </w:rPr>
      </w:pPr>
    </w:p>
    <w:sectPr>
      <w:pgSz w:w="11906" w:h="16838"/>
      <w:pgMar w:top="1440" w:right="1701" w:bottom="1440" w:left="1701" w:header="0" w:footer="0" w:gutter="0"/>
      <w:cols w:space="720" w:num="1"/>
      <w:formProt w:val="0"/>
      <w:docGrid w:type="lines" w:linePitch="312" w:charSpace="61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Liberation Sans">
    <w:panose1 w:val="020B0604020202020204"/>
    <w:charset w:val="86"/>
    <w:family w:val="swiss"/>
    <w:pitch w:val="default"/>
    <w:sig w:usb0="A00002AF" w:usb1="500078FB" w:usb2="00000000" w:usb3="00000000" w:csb0="6000009F" w:csb1="DFD70000"/>
  </w:font>
  <w:font w:name="微软雅黑">
    <w:altName w:val="黑体"/>
    <w:panose1 w:val="020B0503020204020204"/>
    <w:charset w:val="86"/>
    <w:family w:val="roman"/>
    <w:pitch w:val="default"/>
    <w:sig w:usb0="00000000" w:usb1="00000000" w:usb2="00000000" w:usb3="00000000" w:csb0="00000000" w:csb1="00000000"/>
  </w:font>
  <w:font w:name="Arial">
    <w:altName w:val="Times New Roman"/>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characterSpacingControl w:val="doNotCompress"/>
  <w:compat>
    <w:doNotExpandShiftReturn/>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315"/>
    <w:rsid w:val="00C14315"/>
    <w:rsid w:val="00F40211"/>
    <w:rsid w:val="00F44765"/>
    <w:rsid w:val="7D67C036"/>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pPr>
      <w:suppressLineNumbers/>
      <w:spacing w:before="120" w:after="120"/>
    </w:pPr>
    <w:rPr>
      <w:rFonts w:cs="Arial"/>
      <w:i/>
      <w:iCs/>
      <w:sz w:val="24"/>
      <w:szCs w:val="24"/>
    </w:rPr>
  </w:style>
  <w:style w:type="paragraph" w:styleId="3">
    <w:name w:val="Body Text"/>
    <w:basedOn w:val="1"/>
    <w:qFormat/>
    <w:uiPriority w:val="0"/>
    <w:pPr>
      <w:spacing w:after="140" w:line="276" w:lineRule="auto"/>
    </w:pPr>
  </w:style>
  <w:style w:type="paragraph" w:styleId="4">
    <w:name w:val="List"/>
    <w:basedOn w:val="3"/>
    <w:qFormat/>
    <w:uiPriority w:val="0"/>
    <w:rPr>
      <w:rFonts w:cs="Arial"/>
    </w:rPr>
  </w:style>
  <w:style w:type="paragraph" w:styleId="5">
    <w:name w:val="Normal (Web)"/>
    <w:basedOn w:val="1"/>
    <w:semiHidden/>
    <w:unhideWhenUsed/>
    <w:qFormat/>
    <w:uiPriority w:val="99"/>
    <w:pPr>
      <w:widowControl/>
      <w:spacing w:beforeAutospacing="1" w:afterAutospacing="1"/>
      <w:jc w:val="left"/>
    </w:pPr>
    <w:rPr>
      <w:rFonts w:ascii="宋体" w:hAnsi="宋体" w:eastAsia="宋体" w:cs="宋体"/>
      <w:kern w:val="0"/>
      <w:sz w:val="24"/>
      <w:szCs w:val="24"/>
    </w:rPr>
  </w:style>
  <w:style w:type="paragraph" w:customStyle="1" w:styleId="8">
    <w:name w:val="标题样式"/>
    <w:basedOn w:val="1"/>
    <w:next w:val="3"/>
    <w:qFormat/>
    <w:uiPriority w:val="0"/>
    <w:pPr>
      <w:keepNext/>
      <w:spacing w:before="240" w:after="120"/>
    </w:pPr>
    <w:rPr>
      <w:rFonts w:ascii="Liberation Sans" w:hAnsi="Liberation Sans" w:eastAsia="微软雅黑" w:cs="Arial"/>
      <w:sz w:val="28"/>
      <w:szCs w:val="28"/>
    </w:rPr>
  </w:style>
  <w:style w:type="paragraph" w:customStyle="1" w:styleId="9">
    <w:name w:val="索引"/>
    <w:basedOn w:val="1"/>
    <w:qFormat/>
    <w:uiPriority w:val="0"/>
    <w:pPr>
      <w:suppressLineNumbers/>
    </w:pPr>
    <w:rPr>
      <w:rFonts w:cs="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209</Words>
  <Characters>1193</Characters>
  <Lines>9</Lines>
  <Paragraphs>2</Paragraphs>
  <TotalTime>40</TotalTime>
  <ScaleCrop>false</ScaleCrop>
  <LinksUpToDate>false</LinksUpToDate>
  <CharactersWithSpaces>1400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2021-10-21T13:34:00Z</dcterms:created>
  <dc:creator>IdeaBank</dc:creator>
  <cp:lastModifiedBy>∑～白日昭只～＄</cp:lastModifiedBy>
  <dcterms:modified xsi:type="dcterms:W3CDTF">2025-01-17T09:39:15Z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