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三门峡市人民政府2023年政府信息公开工作年度报告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（一）主动公开：</w:t>
      </w:r>
    </w:p>
    <w:p>
      <w:pPr>
        <w:widowControl/>
        <w:shd w:val="clear" w:color="auto" w:fill="FFFFFF"/>
        <w:ind w:firstLine="480"/>
        <w:rPr>
          <w:rFonts w:ascii="宋体" w:hAnsi="宋体" w:eastAsia="宋体" w:cs="宋体"/>
          <w:color w:val="333333"/>
          <w:kern w:val="0"/>
          <w:sz w:val="24"/>
          <w:szCs w:val="24"/>
        </w:rPr>
      </w:pPr>
      <w:r>
        <w:t>2023年，市政府门户网站共添加各类信息11459条，微信公众号“三门峡政务”发布信息2108条。组织20家市直单位集中办公开展基层政务公开标准化规范化工作专项督查督办工作，助力高质量完成基层政务公开标准化规范化工作；集中开设公共企事业单位信息公开栏目，扎实推进教育、卫生健康、供水、供电、供气、供热、生态环境、公共交通等8个领域公共企事业单位信息公开；推进45家网站开通调查征集功能，面向全市公众开展“三门峡市政务公开工作”问卷调查，收集民声民意，不断增强政民互动。</w:t>
      </w:r>
    </w:p>
    <w:p>
      <w:pPr>
        <w:widowControl/>
        <w:shd w:val="clear" w:color="auto" w:fill="FFFFFF"/>
        <w:ind w:firstLine="480"/>
        <w:rPr>
          <w:rFonts w:ascii="宋体" w:hAnsi="宋体" w:eastAsia="宋体" w:cs="宋体"/>
          <w:color w:val="333333"/>
          <w:kern w:val="0"/>
          <w:sz w:val="24"/>
          <w:szCs w:val="24"/>
        </w:rPr>
      </w:pPr>
      <w:r>
        <w:t>（二）依申请公开：</w:t>
      </w:r>
    </w:p>
    <w:p>
      <w:pPr>
        <w:widowControl/>
        <w:shd w:val="clear" w:color="auto" w:fill="FFFFFF"/>
        <w:ind w:firstLine="480"/>
        <w:rPr>
          <w:rFonts w:ascii="宋体" w:hAnsi="宋体" w:eastAsia="宋体" w:cs="宋体"/>
          <w:color w:val="333333"/>
          <w:kern w:val="0"/>
          <w:sz w:val="24"/>
          <w:szCs w:val="24"/>
        </w:rPr>
      </w:pPr>
      <w:r>
        <w:t>市政府通过信函申请方式，对部分县（市、区）人民政府、市政府部门依申请公开工作进行了模拟评估，发出测试件20份，检查了相关单位政府信息公开渠道的畅通性、答复的及时性、答复内容的规范性。开展依申请公开专项培训两次。</w:t>
      </w:r>
    </w:p>
    <w:p>
      <w:pPr>
        <w:widowControl/>
        <w:shd w:val="clear" w:color="auto" w:fill="FFFFFF"/>
        <w:ind w:firstLine="480"/>
        <w:rPr>
          <w:rFonts w:ascii="宋体" w:hAnsi="宋体" w:eastAsia="宋体" w:cs="宋体"/>
          <w:color w:val="333333"/>
          <w:kern w:val="0"/>
          <w:sz w:val="24"/>
          <w:szCs w:val="24"/>
        </w:rPr>
      </w:pPr>
      <w:r>
        <w:t>（三）政府信息管理：</w:t>
      </w:r>
    </w:p>
    <w:p>
      <w:pPr>
        <w:widowControl/>
        <w:shd w:val="clear" w:color="auto" w:fill="FFFFFF"/>
        <w:ind w:firstLine="480"/>
        <w:rPr>
          <w:rFonts w:ascii="宋体" w:hAnsi="宋体" w:eastAsia="宋体" w:cs="宋体"/>
          <w:color w:val="333333"/>
          <w:kern w:val="0"/>
          <w:sz w:val="24"/>
          <w:szCs w:val="24"/>
        </w:rPr>
      </w:pPr>
      <w:r>
        <w:t>完善市政府规章库，建立市级行政规范性文件库。严格实行三审三校制度，对所发布的信息进行严格审查，确保信息的准确性、真实性，避免出现错误表述。</w:t>
      </w:r>
    </w:p>
    <w:p>
      <w:pPr>
        <w:widowControl/>
        <w:shd w:val="clear" w:color="auto" w:fill="FFFFFF"/>
        <w:ind w:firstLine="480"/>
        <w:rPr>
          <w:rFonts w:ascii="宋体" w:hAnsi="宋体" w:eastAsia="宋体" w:cs="宋体"/>
          <w:color w:val="333333"/>
          <w:kern w:val="0"/>
          <w:sz w:val="24"/>
          <w:szCs w:val="24"/>
        </w:rPr>
      </w:pPr>
      <w:r>
        <w:t>（四）政府信息公开平台建设：</w:t>
      </w:r>
    </w:p>
    <w:p>
      <w:pPr>
        <w:widowControl/>
        <w:shd w:val="clear" w:color="auto" w:fill="FFFFFF"/>
        <w:ind w:firstLine="480"/>
        <w:rPr>
          <w:rFonts w:ascii="宋体" w:hAnsi="宋体" w:eastAsia="宋体" w:cs="宋体"/>
          <w:color w:val="333333"/>
          <w:kern w:val="0"/>
          <w:sz w:val="24"/>
          <w:szCs w:val="24"/>
        </w:rPr>
      </w:pPr>
      <w:r>
        <w:t>加快推进全市政府网站集约化建设；对政府网站各层页面进行适配改造，增设了“无障碍浏览”和“适老模式”，推动全市政府网站适老化和无障碍改造工作；建成市政府公报数据库，进一步优化门户网站政府公报专栏，为公众提供了更为便利的查阅方式。</w:t>
      </w:r>
    </w:p>
    <w:p>
      <w:pPr>
        <w:widowControl/>
        <w:shd w:val="clear" w:color="auto" w:fill="FFFFFF"/>
        <w:ind w:firstLine="480"/>
        <w:rPr>
          <w:rFonts w:ascii="宋体" w:hAnsi="宋体" w:eastAsia="宋体" w:cs="宋体"/>
          <w:color w:val="333333"/>
          <w:kern w:val="0"/>
          <w:sz w:val="24"/>
          <w:szCs w:val="24"/>
        </w:rPr>
      </w:pPr>
      <w:r>
        <w:t>（五）监督保障：</w:t>
      </w:r>
    </w:p>
    <w:p>
      <w:pPr>
        <w:widowControl/>
        <w:shd w:val="clear" w:color="auto" w:fill="FFFFFF"/>
        <w:ind w:firstLine="480"/>
        <w:rPr>
          <w:rFonts w:ascii="宋体" w:hAnsi="宋体" w:eastAsia="宋体" w:cs="宋体"/>
          <w:color w:val="333333"/>
          <w:kern w:val="0"/>
          <w:sz w:val="24"/>
          <w:szCs w:val="24"/>
        </w:rPr>
      </w:pPr>
      <w:r>
        <w:t>完善考核机制，加强工作的日常考核，每周四对全市135个政务新媒体更新情况进行全面检查，对即将到期还未更新账号进行更新提醒，周一通报上周更新情况。梳理近几年政务公开工作要点，对近3年的政务公开工作要点落实情况开展“回头看”，细化政务公开工作清单，强化社会评议，科学设计评估指标，逐一核对落实情况，评价结果作为改进和优化工作的重要参考。组织开展政务公开相关会议9次。规范开展工作考核、社会评议，全年未发生因不履行政务公开义务而产生的责任追究情况。</w:t>
      </w:r>
    </w:p>
    <w:p>
      <w:pPr>
        <w:widowControl/>
        <w:shd w:val="clear" w:color="auto" w:fill="FFFFFF"/>
        <w:ind w:firstLine="480"/>
        <w:rPr>
          <w:rFonts w:ascii="宋体" w:hAnsi="宋体" w:eastAsia="宋体" w:cs="宋体"/>
          <w:color w:val="333333"/>
          <w:kern w:val="0"/>
          <w:sz w:val="24"/>
          <w:szCs w:val="24"/>
        </w:rPr>
      </w:pPr>
    </w:p>
    <w:p>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2</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3</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pPr>
              <w:rPr>
                <w:rFonts w:hint="eastAsia" w:eastAsiaTheme="minorEastAsia"/>
                <w:lang w:eastAsia="zh-CN"/>
              </w:rPr>
            </w:pPr>
            <w:r>
              <w:rPr>
                <w:rFonts w:hint="eastAsia"/>
                <w:lang w:val="en-US" w:eastAsia="zh-CN"/>
              </w:rPr>
              <w:t>6</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pPr>
              <w:rPr>
                <w:rFonts w:hint="eastAsia" w:eastAsiaTheme="minorEastAsia"/>
                <w:lang w:eastAsia="zh-CN"/>
              </w:rPr>
            </w:pPr>
            <w:r>
              <w:t>19</w:t>
            </w:r>
            <w:r>
              <w:rPr>
                <w:rFonts w:hint="eastAsia"/>
                <w:lang w:val="en-US" w:eastAsia="zh-CN"/>
              </w:rPr>
              <w:t>0</w:t>
            </w:r>
            <w:bookmarkStart w:id="0" w:name="_GoBack"/>
            <w:bookmarkEnd w:id="0"/>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60314</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9114</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134</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28161.7532</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1047</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30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7</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16</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7</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214</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2</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15</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231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16</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2</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2</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11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2</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5</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586</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25</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7</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14</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3</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3</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14</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153</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2</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1027</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30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7</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16</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27</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27</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18</w:t>
            </w:r>
          </w:p>
        </w:tc>
        <w:tc>
          <w:tcPr>
            <w:tcW w:w="650" w:type="dxa"/>
            <w:tcBorders>
              <w:left w:val="single" w:color="000000" w:sz="8" w:space="0"/>
              <w:bottom w:val="single" w:color="000000" w:sz="8" w:space="0"/>
              <w:right w:val="single" w:color="000000" w:sz="8" w:space="0"/>
            </w:tcBorders>
            <w:vAlign w:val="center"/>
          </w:tcPr>
          <w:p>
            <w:r>
              <w:t>10</w:t>
            </w:r>
          </w:p>
        </w:tc>
        <w:tc>
          <w:tcPr>
            <w:tcW w:w="649" w:type="dxa"/>
            <w:tcBorders>
              <w:left w:val="single" w:color="000000" w:sz="8" w:space="0"/>
              <w:bottom w:val="single" w:color="000000" w:sz="8" w:space="0"/>
              <w:right w:val="single" w:color="000000" w:sz="8" w:space="0"/>
            </w:tcBorders>
            <w:vAlign w:val="center"/>
          </w:tcPr>
          <w:p>
            <w:r>
              <w:t>4</w:t>
            </w:r>
          </w:p>
        </w:tc>
        <w:tc>
          <w:tcPr>
            <w:tcW w:w="650" w:type="dxa"/>
            <w:tcBorders>
              <w:left w:val="single" w:color="000000" w:sz="8" w:space="0"/>
              <w:bottom w:val="single" w:color="000000" w:sz="8" w:space="0"/>
              <w:right w:val="single" w:color="000000" w:sz="8" w:space="0"/>
            </w:tcBorders>
            <w:vAlign w:val="center"/>
          </w:tcPr>
          <w:p>
            <w:r>
              <w:t>3</w:t>
            </w:r>
          </w:p>
        </w:tc>
        <w:tc>
          <w:tcPr>
            <w:tcW w:w="650" w:type="dxa"/>
            <w:tcBorders>
              <w:left w:val="single" w:color="000000" w:sz="8" w:space="0"/>
              <w:bottom w:val="single" w:color="000000" w:sz="8" w:space="0"/>
              <w:right w:val="single" w:color="000000" w:sz="8" w:space="0"/>
            </w:tcBorders>
            <w:vAlign w:val="center"/>
          </w:tcPr>
          <w:p>
            <w:r>
              <w:t>35</w:t>
            </w:r>
          </w:p>
        </w:tc>
        <w:tc>
          <w:tcPr>
            <w:tcW w:w="650" w:type="dxa"/>
            <w:tcBorders>
              <w:left w:val="single" w:color="000000" w:sz="8" w:space="0"/>
              <w:bottom w:val="single" w:color="000000" w:sz="8" w:space="0"/>
              <w:right w:val="single" w:color="000000" w:sz="8" w:space="0"/>
            </w:tcBorders>
            <w:vAlign w:val="center"/>
          </w:tcPr>
          <w:p>
            <w:r>
              <w:t>3</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1</w:t>
            </w:r>
          </w:p>
        </w:tc>
        <w:tc>
          <w:tcPr>
            <w:tcW w:w="650" w:type="dxa"/>
            <w:tcBorders>
              <w:left w:val="single" w:color="000000" w:sz="8" w:space="0"/>
              <w:bottom w:val="single" w:color="000000" w:sz="8" w:space="0"/>
              <w:right w:val="single" w:color="000000" w:sz="8" w:space="0"/>
            </w:tcBorders>
            <w:vAlign w:val="center"/>
          </w:tcPr>
          <w:p>
            <w:r>
              <w:t>4</w:t>
            </w:r>
          </w:p>
        </w:tc>
        <w:tc>
          <w:tcPr>
            <w:tcW w:w="650" w:type="dxa"/>
            <w:tcBorders>
              <w:left w:val="single" w:color="000000" w:sz="8" w:space="0"/>
              <w:bottom w:val="single" w:color="000000" w:sz="8" w:space="0"/>
              <w:right w:val="single" w:color="000000" w:sz="8" w:space="0"/>
            </w:tcBorders>
            <w:vAlign w:val="center"/>
          </w:tcPr>
          <w:p>
            <w:r>
              <w:t>8</w:t>
            </w:r>
          </w:p>
        </w:tc>
        <w:tc>
          <w:tcPr>
            <w:tcW w:w="650" w:type="dxa"/>
            <w:tcBorders>
              <w:left w:val="single" w:color="000000" w:sz="8" w:space="0"/>
              <w:bottom w:val="single" w:color="000000" w:sz="8" w:space="0"/>
              <w:right w:val="single" w:color="000000" w:sz="8" w:space="0"/>
            </w:tcBorders>
            <w:vAlign w:val="center"/>
          </w:tcPr>
          <w:p>
            <w:r>
              <w:t>5</w:t>
            </w:r>
          </w:p>
        </w:tc>
        <w:tc>
          <w:tcPr>
            <w:tcW w:w="650" w:type="dxa"/>
            <w:tcBorders>
              <w:left w:val="single" w:color="000000" w:sz="8" w:space="0"/>
              <w:bottom w:val="single" w:color="000000" w:sz="8" w:space="0"/>
              <w:right w:val="single" w:color="000000" w:sz="8" w:space="0"/>
            </w:tcBorders>
            <w:vAlign w:val="center"/>
          </w:tcPr>
          <w:p>
            <w:r>
              <w:t>1</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3</w:t>
            </w:r>
          </w:p>
        </w:tc>
        <w:tc>
          <w:tcPr>
            <w:tcW w:w="650" w:type="dxa"/>
            <w:tcBorders>
              <w:left w:val="single" w:color="000000" w:sz="8" w:space="0"/>
              <w:bottom w:val="single" w:color="000000" w:sz="8" w:space="0"/>
              <w:right w:val="single" w:color="000000" w:sz="8" w:space="0"/>
            </w:tcBorders>
            <w:vAlign w:val="center"/>
          </w:tcPr>
          <w:p>
            <w:r>
              <w:t>9</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存在主要问题：一是政务公开创新较少；二是部分重点领域信息公开有待加强。</w:t>
      </w:r>
    </w:p>
    <w:p>
      <w:pPr>
        <w:widowControl/>
        <w:shd w:val="clear" w:color="auto" w:fill="FFFFFF"/>
        <w:ind w:firstLine="480"/>
        <w:rPr>
          <w:rFonts w:ascii="宋体" w:hAnsi="宋体" w:eastAsia="宋体" w:cs="宋体"/>
          <w:color w:val="333333"/>
          <w:kern w:val="0"/>
          <w:sz w:val="24"/>
          <w:szCs w:val="24"/>
        </w:rPr>
      </w:pPr>
      <w:r>
        <w:t>改进措施：一是借鉴其他地市好做法、好经验，推动政务公开工作不断创新；二是不断强化重点领域信息公开，细化重点领域任务分工，落实责任主体，针对短板弱项开展重点考核。</w:t>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t>1.三门峡市严格按照《国务院办公厅关于印发〈政府信息公开信息处理费管理办法〉的通知》国办函〔2020〕109 号规定的按件、按量收费标准,本年度未产生信息公开处理费。</w:t>
      </w:r>
    </w:p>
    <w:p>
      <w:pPr>
        <w:widowControl/>
        <w:shd w:val="clear" w:color="auto" w:fill="FFFFFF"/>
        <w:ind w:firstLine="480"/>
        <w:jc w:val="left"/>
        <w:rPr>
          <w:rFonts w:ascii="宋体" w:hAnsi="宋体" w:eastAsia="宋体" w:cs="宋体"/>
          <w:color w:val="333333"/>
          <w:kern w:val="0"/>
          <w:sz w:val="24"/>
          <w:szCs w:val="24"/>
        </w:rPr>
      </w:pPr>
      <w:r>
        <w:t>2.收到和处理政府信息公开申请情况、政府信息公开行政复议、行政诉讼情况由系统汇总得到；规章、规范性文件信息：由市司法局提供；行政事业性收费信息：由三门峡市财政局提供；许可、处罚、强制信息相关数据：由市发改委提供。</w:t>
      </w:r>
    </w:p>
    <w:p>
      <w:pPr>
        <w:widowControl/>
        <w:shd w:val="clear" w:color="auto" w:fill="FFFFFF"/>
        <w:ind w:firstLine="480"/>
        <w:jc w:val="left"/>
        <w:rPr>
          <w:rFonts w:ascii="宋体" w:hAnsi="宋体" w:eastAsia="宋体" w:cs="宋体"/>
          <w:color w:val="333333"/>
          <w:kern w:val="0"/>
          <w:sz w:val="24"/>
          <w:szCs w:val="24"/>
        </w:rPr>
      </w:pP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panose1 w:val="020B0604020202020204"/>
    <w:charset w:val="86"/>
    <w:family w:val="swiss"/>
    <w:pitch w:val="default"/>
    <w:sig w:usb0="A00002AF" w:usb1="500078FB" w:usb2="00000000" w:usb3="00000000" w:csb0="6000009F" w:csb1="DFD70000"/>
  </w:font>
  <w:font w:name="微软雅黑">
    <w:altName w:val="黑体"/>
    <w:panose1 w:val="020B0503020204020204"/>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15"/>
    <w:rsid w:val="00C14315"/>
    <w:rsid w:val="00F40211"/>
    <w:rsid w:val="00F44765"/>
    <w:rsid w:val="15EAD8CE"/>
    <w:rsid w:val="2EF76B7A"/>
    <w:rsid w:val="3B4FB076"/>
    <w:rsid w:val="5FD67867"/>
    <w:rsid w:val="5FEE2281"/>
    <w:rsid w:val="629FB306"/>
    <w:rsid w:val="7BE53737"/>
    <w:rsid w:val="BFF9BF1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Arial"/>
      <w:i/>
      <w:iCs/>
      <w:sz w:val="24"/>
      <w:szCs w:val="24"/>
    </w:rPr>
  </w:style>
  <w:style w:type="paragraph" w:styleId="3">
    <w:name w:val="Body Text"/>
    <w:basedOn w:val="1"/>
    <w:qFormat/>
    <w:uiPriority w:val="0"/>
    <w:pPr>
      <w:spacing w:after="140" w:line="276" w:lineRule="auto"/>
    </w:pPr>
  </w:style>
  <w:style w:type="paragraph" w:styleId="4">
    <w:name w:val="List"/>
    <w:basedOn w:val="3"/>
    <w:qFormat/>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true"/>
          <a:tileRect/>
        </a:gradFill>
        <a:gradFill>
          <a:gsLst>
            <a:gs pos="0">
              <a:schemeClr val="phClr">
                <a:shade val="51000"/>
              </a:schemeClr>
            </a:gs>
            <a:gs pos="80000">
              <a:schemeClr val="phClr">
                <a:shade val="93000"/>
              </a:schemeClr>
            </a:gs>
            <a:gs pos="100000">
              <a:schemeClr val="phClr">
                <a:shade val="94000"/>
              </a:schemeClr>
            </a:gs>
          </a:gsLst>
          <a:lin ang="16200000" scaled="false"/>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78</TotalTime>
  <ScaleCrop>false</ScaleCrop>
  <LinksUpToDate>false</LinksUpToDate>
  <CharactersWithSpaces>1400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2021-10-22T13:34:00Z</dcterms:created>
  <dc:creator>IdeaBank</dc:creator>
  <cp:lastModifiedBy>greatwall</cp:lastModifiedBy>
  <dcterms:modified xsi:type="dcterms:W3CDTF">2025-02-14T11:08:10Z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