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2"/>
        <w:gridCol w:w="629"/>
        <w:gridCol w:w="3718"/>
        <w:gridCol w:w="1129"/>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6</w:t>
            </w:r>
            <w:r>
              <w:rPr>
                <w:rFonts w:hint="eastAsia" w:ascii="宋体" w:hAnsi="宋体" w:eastAsia="宋体" w:cs="宋体"/>
                <w:b/>
                <w:bCs/>
                <w:sz w:val="27"/>
                <w:szCs w:val="27"/>
              </w:rPr>
              <w:t>年</w:t>
            </w:r>
            <w:r>
              <w:rPr>
                <w:rFonts w:hint="eastAsia" w:ascii="宋体" w:hAnsi="宋体" w:eastAsia="宋体" w:cs="宋体"/>
                <w:b/>
                <w:bCs/>
                <w:sz w:val="27"/>
                <w:szCs w:val="27"/>
                <w:highlight w:val="cyan"/>
              </w:rPr>
              <w:t>1-</w:t>
            </w:r>
            <w:r>
              <w:rPr>
                <w:rFonts w:hint="default" w:ascii="宋体" w:hAnsi="宋体" w:eastAsia="宋体" w:cs="宋体"/>
                <w:b/>
                <w:bCs/>
                <w:sz w:val="27"/>
                <w:szCs w:val="27"/>
                <w:highlight w:val="cyan"/>
                <w:lang w:val="en"/>
              </w:rPr>
              <w:t>3</w:t>
            </w:r>
            <w:r>
              <w:rPr>
                <w:rFonts w:hint="eastAsia" w:ascii="宋体" w:hAnsi="宋体" w:eastAsia="宋体" w:cs="宋体"/>
                <w:b/>
                <w:bCs/>
                <w:sz w:val="27"/>
                <w:szCs w:val="27"/>
                <w:highlight w:val="cyan"/>
              </w:rPr>
              <w:t>月</w:t>
            </w:r>
            <w:r>
              <w:rPr>
                <w:rFonts w:hint="eastAsia" w:ascii="宋体" w:hAnsi="宋体" w:eastAsia="宋体" w:cs="宋体"/>
                <w:b/>
                <w:bCs/>
                <w:sz w:val="27"/>
                <w:szCs w:val="27"/>
                <w:highlight w:val="cyan"/>
                <w:lang w:eastAsia="zh-CN"/>
              </w:rPr>
              <w:t>（截至当前</w:t>
            </w:r>
            <w:r>
              <w:rPr>
                <w:rFonts w:hint="eastAsia" w:ascii="宋体" w:hAnsi="宋体" w:eastAsia="宋体" w:cs="宋体"/>
                <w:b/>
                <w:bCs/>
                <w:sz w:val="27"/>
                <w:szCs w:val="27"/>
                <w:lang w:eastAsia="zh-CN"/>
              </w:rPr>
              <w:t>）</w:t>
            </w:r>
            <w:r>
              <w:rPr>
                <w:rFonts w:hint="eastAsia" w:ascii="宋体" w:hAnsi="宋体" w:eastAsia="宋体" w:cs="宋体"/>
                <w:b/>
                <w:bCs/>
                <w:sz w:val="27"/>
                <w:szCs w:val="27"/>
              </w:rPr>
              <w:t>全市人力资源社会保障主要数据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9344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3756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2125.32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1221.08</w:t>
            </w:r>
          </w:p>
        </w:tc>
      </w:tr>
    </w:tbl>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bookmarkStart w:id="0" w:name="_GoBack"/>
      <w:bookmarkEnd w:id="0"/>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F92175D"/>
    <w:rsid w:val="177A3A0A"/>
    <w:rsid w:val="1BB512F0"/>
    <w:rsid w:val="1D385264"/>
    <w:rsid w:val="1F756509"/>
    <w:rsid w:val="282274F1"/>
    <w:rsid w:val="2D900677"/>
    <w:rsid w:val="2E2760CC"/>
    <w:rsid w:val="2F236B5D"/>
    <w:rsid w:val="2FB35E69"/>
    <w:rsid w:val="2FDFF5EF"/>
    <w:rsid w:val="324652A5"/>
    <w:rsid w:val="32C943E9"/>
    <w:rsid w:val="38A02D03"/>
    <w:rsid w:val="410D3559"/>
    <w:rsid w:val="4E6C6B7D"/>
    <w:rsid w:val="56BFE4D9"/>
    <w:rsid w:val="5E854065"/>
    <w:rsid w:val="5FDC0C0E"/>
    <w:rsid w:val="6FECB0DF"/>
    <w:rsid w:val="7BD74E17"/>
    <w:rsid w:val="7D4F2B27"/>
    <w:rsid w:val="7EEF966A"/>
    <w:rsid w:val="7FF60964"/>
    <w:rsid w:val="AFD65F41"/>
    <w:rsid w:val="BE9D8016"/>
    <w:rsid w:val="DBFF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1785</Words>
  <Characters>1835</Characters>
  <Lines>0</Lines>
  <Paragraphs>0</Paragraphs>
  <TotalTime>297</TotalTime>
  <ScaleCrop>false</ScaleCrop>
  <LinksUpToDate>false</LinksUpToDate>
  <CharactersWithSpaces>1838</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2025-05-22T17:02:00Z</dcterms:created>
  <dc:creator>Administrator</dc:creator>
  <cp:lastModifiedBy>lenovo</cp:lastModifiedBy>
  <cp:lastPrinted>2026-03-27T18:01:00Z</cp:lastPrinted>
  <dcterms:modified xsi:type="dcterms:W3CDTF">2026-03-27T15:50:49Z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eyJoZGlkIjoiMmYxNGFmOTk1YjRlZTMxODBlYzc3MWRiNGNjOThiZGMiLCJ1c2VySWQiOiI3NDE5OTQ2NDMifQ==</vt:lpwstr>
  </property>
  <property fmtid="{D5CDD505-2E9C-101B-9397-08002B2CF9AE}" pid="4" name="ICV">
    <vt:lpwstr>03D9C842B84941B1AA6C91FBE92D4915_13</vt:lpwstr>
  </property>
</Properties>
</file>